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20" w:after="120" w:line="440" w:lineRule="exact"/>
        <w:jc w:val="center"/>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苏州市第九人民医院系统平台安全加固项目招标要求</w:t>
      </w:r>
    </w:p>
    <w:p>
      <w:pPr>
        <w:snapToGrid w:val="0"/>
        <w:spacing w:before="120" w:after="120" w:line="440" w:lineRule="exact"/>
        <w:rPr>
          <w:rFonts w:ascii="仿宋" w:hAnsi="仿宋" w:eastAsia="仿宋" w:cs="宋体"/>
          <w:b/>
          <w:bCs/>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一、项目背景</w:t>
      </w:r>
    </w:p>
    <w:p>
      <w:pPr>
        <w:widowControl/>
        <w:spacing w:line="360" w:lineRule="auto"/>
        <w:ind w:firstLine="424" w:firstLineChars="202"/>
        <w:jc w:val="left"/>
        <w:rPr>
          <w:rFonts w:ascii="仿宋" w:hAnsi="仿宋" w:eastAsia="仿宋" w:cs="Calibri"/>
          <w:color w:val="000000" w:themeColor="text1"/>
          <w:szCs w:val="21"/>
          <w14:textFill>
            <w14:solidFill>
              <w14:schemeClr w14:val="tx1"/>
            </w14:solidFill>
          </w14:textFill>
        </w:rPr>
      </w:pPr>
      <w:r>
        <w:rPr>
          <w:rFonts w:hint="eastAsia" w:ascii="仿宋" w:hAnsi="仿宋" w:eastAsia="仿宋" w:cs="Calibri"/>
          <w:color w:val="000000" w:themeColor="text1"/>
          <w:szCs w:val="21"/>
          <w14:textFill>
            <w14:solidFill>
              <w14:schemeClr w14:val="tx1"/>
            </w14:solidFill>
          </w14:textFill>
        </w:rPr>
        <w:t>随着苏州市第九人民医院信息化建设不断推进，信息系统的安全、高效、持续运行已成为医院业务开展的必要条件，</w:t>
      </w:r>
      <w:r>
        <w:rPr>
          <w:rFonts w:ascii="仿宋" w:hAnsi="仿宋" w:eastAsia="仿宋" w:cs="Calibri"/>
          <w:color w:val="000000" w:themeColor="text1"/>
          <w:szCs w:val="21"/>
          <w14:textFill>
            <w14:solidFill>
              <w14:schemeClr w14:val="tx1"/>
            </w14:solidFill>
          </w14:textFill>
        </w:rPr>
        <w:t>由于网络设备、操作系统、网络协议等不可避免地存在技术上的漏洞，加之近年来各种安全事故</w:t>
      </w:r>
      <w:r>
        <w:rPr>
          <w:rFonts w:hint="eastAsia" w:ascii="仿宋" w:hAnsi="仿宋" w:eastAsia="仿宋" w:cs="Calibri"/>
          <w:color w:val="000000" w:themeColor="text1"/>
          <w:szCs w:val="21"/>
          <w14:textFill>
            <w14:solidFill>
              <w14:schemeClr w14:val="tx1"/>
            </w14:solidFill>
          </w14:textFill>
        </w:rPr>
        <w:t>频发</w:t>
      </w:r>
      <w:r>
        <w:rPr>
          <w:rFonts w:ascii="仿宋" w:hAnsi="仿宋" w:eastAsia="仿宋" w:cs="Calibri"/>
          <w:color w:val="000000" w:themeColor="text1"/>
          <w:szCs w:val="21"/>
          <w14:textFill>
            <w14:solidFill>
              <w14:schemeClr w14:val="tx1"/>
            </w14:solidFill>
          </w14:textFill>
        </w:rPr>
        <w:t>，给我院</w:t>
      </w:r>
      <w:r>
        <w:rPr>
          <w:rFonts w:hint="eastAsia" w:ascii="仿宋" w:hAnsi="仿宋" w:eastAsia="仿宋" w:cs="Calibri"/>
          <w:color w:val="000000" w:themeColor="text1"/>
          <w:szCs w:val="21"/>
          <w14:textFill>
            <w14:solidFill>
              <w14:schemeClr w14:val="tx1"/>
            </w14:solidFill>
          </w14:textFill>
        </w:rPr>
        <w:t>信息</w:t>
      </w:r>
      <w:r>
        <w:rPr>
          <w:rFonts w:ascii="仿宋" w:hAnsi="仿宋" w:eastAsia="仿宋" w:cs="Calibri"/>
          <w:color w:val="000000" w:themeColor="text1"/>
          <w:szCs w:val="21"/>
          <w14:textFill>
            <w14:solidFill>
              <w14:schemeClr w14:val="tx1"/>
            </w14:solidFill>
          </w14:textFill>
        </w:rPr>
        <w:t>系统的正常运营</w:t>
      </w:r>
      <w:r>
        <w:rPr>
          <w:rFonts w:hint="eastAsia" w:ascii="仿宋" w:hAnsi="仿宋" w:eastAsia="仿宋" w:cs="Calibri"/>
          <w:color w:val="000000" w:themeColor="text1"/>
          <w:szCs w:val="21"/>
          <w14:textFill>
            <w14:solidFill>
              <w14:schemeClr w14:val="tx1"/>
            </w14:solidFill>
          </w14:textFill>
        </w:rPr>
        <w:t>带来了极大的挑战，必须采取有效措施增强我院信息系统的安全。</w:t>
      </w:r>
      <w:r>
        <w:rPr>
          <w:rFonts w:ascii="仿宋" w:hAnsi="仿宋" w:eastAsia="仿宋" w:cs="Calibri"/>
          <w:color w:val="000000" w:themeColor="text1"/>
          <w:szCs w:val="21"/>
          <w14:textFill>
            <w14:solidFill>
              <w14:schemeClr w14:val="tx1"/>
            </w14:solidFill>
          </w14:textFill>
        </w:rPr>
        <w:t xml:space="preserve"> </w:t>
      </w:r>
      <w:r>
        <w:rPr>
          <w:rFonts w:hint="eastAsia" w:ascii="仿宋" w:hAnsi="仿宋" w:eastAsia="仿宋" w:cs="Calibri"/>
          <w:color w:val="000000" w:themeColor="text1"/>
          <w:szCs w:val="21"/>
          <w14:textFill>
            <w14:solidFill>
              <w14:schemeClr w14:val="tx1"/>
            </w14:solidFill>
          </w14:textFill>
        </w:rPr>
        <w:t>本次系统平台安全加固旨在通过安全设备和服务，提高我院信息系统的整体安全，为医院各项业务健康运行保驾护航。</w:t>
      </w:r>
    </w:p>
    <w:p>
      <w:pPr>
        <w:widowControl/>
        <w:spacing w:line="360" w:lineRule="auto"/>
        <w:rPr>
          <w:rFonts w:ascii="仿宋" w:hAnsi="仿宋" w:eastAsia="仿宋"/>
          <w:b/>
          <w:color w:val="000000" w:themeColor="text1"/>
          <w:szCs w:val="21"/>
          <w14:textFill>
            <w14:solidFill>
              <w14:schemeClr w14:val="tx1"/>
            </w14:solidFill>
          </w14:textFill>
        </w:rPr>
      </w:pPr>
    </w:p>
    <w:p>
      <w:pPr>
        <w:widowControl/>
        <w:spacing w:line="360" w:lineRule="auto"/>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二、项目要求</w:t>
      </w:r>
    </w:p>
    <w:p>
      <w:pPr>
        <w:widowControl/>
        <w:spacing w:line="360" w:lineRule="auto"/>
        <w:rPr>
          <w:rFonts w:ascii="仿宋" w:hAnsi="仿宋" w:eastAsia="仿宋" w:cs="Calibri"/>
          <w:b/>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2.1 项目目标</w:t>
      </w:r>
    </w:p>
    <w:p>
      <w:pPr>
        <w:spacing w:line="360" w:lineRule="auto"/>
        <w:ind w:firstLine="437"/>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（1）识别我院信息系统安全风险。通过对医院信息系统检测管理，发现信息系统与相应等级保护基本要求之间的差距，进行风险分析，明确存在的风险并及时的进行处置；</w:t>
      </w:r>
    </w:p>
    <w:p>
      <w:pPr>
        <w:spacing w:line="360" w:lineRule="auto"/>
        <w:ind w:firstLine="437"/>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（2）增强医院数据容灾能力。根据等级保护测评结果，结合医院的实际情况，</w:t>
      </w:r>
      <w:r>
        <w:rPr>
          <w:rFonts w:ascii="仿宋" w:hAnsi="仿宋" w:eastAsia="仿宋"/>
          <w:color w:val="000000" w:themeColor="text1"/>
          <w:szCs w:val="21"/>
          <w14:textFill>
            <w14:solidFill>
              <w14:schemeClr w14:val="tx1"/>
            </w14:solidFill>
          </w14:textFill>
        </w:rPr>
        <w:t xml:space="preserve"> </w:t>
      </w:r>
      <w:r>
        <w:rPr>
          <w:rFonts w:hint="eastAsia" w:ascii="仿宋" w:hAnsi="仿宋" w:eastAsia="仿宋"/>
          <w:color w:val="000000" w:themeColor="text1"/>
          <w:szCs w:val="21"/>
          <w14:textFill>
            <w14:solidFill>
              <w14:schemeClr w14:val="tx1"/>
            </w14:solidFill>
          </w14:textFill>
        </w:rPr>
        <w:t>确保在突发情况下都能有一份或多份数据，通过数据恢复等技术保证医院信息系统的生产；</w:t>
      </w:r>
    </w:p>
    <w:p>
      <w:pPr>
        <w:widowControl/>
        <w:spacing w:line="360" w:lineRule="auto"/>
        <w:ind w:firstLine="424" w:firstLineChars="202"/>
        <w:jc w:val="left"/>
        <w:rPr>
          <w:rFonts w:ascii="仿宋" w:hAnsi="仿宋" w:eastAsia="仿宋" w:cs="Calibri"/>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（3）</w:t>
      </w:r>
      <w:r>
        <w:rPr>
          <w:rFonts w:hint="eastAsia" w:ascii="仿宋" w:hAnsi="仿宋" w:eastAsia="仿宋" w:cs="Calibri"/>
          <w:color w:val="000000" w:themeColor="text1"/>
          <w:szCs w:val="21"/>
          <w14:textFill>
            <w14:solidFill>
              <w14:schemeClr w14:val="tx1"/>
            </w14:solidFill>
          </w14:textFill>
        </w:rPr>
        <w:t>虚拟化系统优化和安全保障。对现有虚拟化环境安全加固，对信息系统存储容量优化和扩容，建立完整的安全防护体系，搭建可预期的存储容量。</w:t>
      </w:r>
    </w:p>
    <w:p>
      <w:pPr>
        <w:widowControl/>
        <w:spacing w:line="360" w:lineRule="auto"/>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2.2</w:t>
      </w:r>
      <w:r>
        <w:rPr>
          <w:rFonts w:ascii="仿宋" w:hAnsi="仿宋" w:eastAsia="仿宋"/>
          <w:color w:val="000000" w:themeColor="text1"/>
          <w:szCs w:val="21"/>
          <w14:textFill>
            <w14:solidFill>
              <w14:schemeClr w14:val="tx1"/>
            </w14:solidFill>
          </w14:textFill>
        </w:rPr>
        <w:t xml:space="preserve"> 采购内容</w:t>
      </w:r>
    </w:p>
    <w:p>
      <w:pPr>
        <w:widowControl/>
        <w:spacing w:line="360" w:lineRule="auto"/>
        <w:ind w:firstLine="420"/>
        <w:jc w:val="left"/>
        <w:rPr>
          <w:rFonts w:ascii="仿宋" w:hAnsi="仿宋" w:eastAsia="仿宋" w:cs="Calibri"/>
          <w:color w:val="000000" w:themeColor="text1"/>
          <w:szCs w:val="21"/>
          <w14:textFill>
            <w14:solidFill>
              <w14:schemeClr w14:val="tx1"/>
            </w14:solidFill>
          </w14:textFill>
        </w:rPr>
      </w:pPr>
      <w:r>
        <w:rPr>
          <w:rFonts w:hint="eastAsia" w:ascii="仿宋" w:hAnsi="仿宋" w:eastAsia="仿宋" w:cs="Calibri"/>
          <w:color w:val="000000" w:themeColor="text1"/>
          <w:szCs w:val="21"/>
          <w14:textFill>
            <w14:solidFill>
              <w14:schemeClr w14:val="tx1"/>
            </w14:solidFill>
          </w14:textFill>
        </w:rPr>
        <w:t>本次项目采购：信息系统平台加固相关设备及服务，投标人须根据采购设备技术要求提供详细投标设备清单，结合信息</w:t>
      </w:r>
      <w:r>
        <w:rPr>
          <w:rFonts w:ascii="仿宋" w:hAnsi="仿宋" w:eastAsia="仿宋" w:cs="Calibri"/>
          <w:color w:val="000000" w:themeColor="text1"/>
          <w:szCs w:val="21"/>
          <w14:textFill>
            <w14:solidFill>
              <w14:schemeClr w14:val="tx1"/>
            </w14:solidFill>
          </w14:textFill>
        </w:rPr>
        <w:t>安全检查服务</w:t>
      </w:r>
      <w:r>
        <w:rPr>
          <w:rFonts w:hint="eastAsia" w:ascii="仿宋" w:hAnsi="仿宋" w:eastAsia="仿宋" w:cs="Calibri"/>
          <w:color w:val="000000" w:themeColor="text1"/>
          <w:szCs w:val="21"/>
          <w14:textFill>
            <w14:solidFill>
              <w14:schemeClr w14:val="tx1"/>
            </w14:solidFill>
          </w14:textFill>
        </w:rPr>
        <w:t>开展各项工作，在工作完成后提供一年免费的运维服务。采购设备要求</w:t>
      </w:r>
      <w:r>
        <w:rPr>
          <w:rFonts w:ascii="仿宋" w:hAnsi="仿宋" w:eastAsia="仿宋" w:cs="Calibri"/>
          <w:color w:val="000000" w:themeColor="text1"/>
          <w:szCs w:val="21"/>
          <w14:textFill>
            <w14:solidFill>
              <w14:schemeClr w14:val="tx1"/>
            </w14:solidFill>
          </w14:textFill>
        </w:rPr>
        <w:t>和服务技术要求</w:t>
      </w:r>
      <w:r>
        <w:rPr>
          <w:rFonts w:hint="eastAsia" w:ascii="仿宋" w:hAnsi="仿宋" w:eastAsia="仿宋" w:cs="Calibri"/>
          <w:color w:val="000000" w:themeColor="text1"/>
          <w:szCs w:val="21"/>
          <w14:textFill>
            <w14:solidFill>
              <w14:schemeClr w14:val="tx1"/>
            </w14:solidFill>
          </w14:textFill>
        </w:rPr>
        <w:t>如下：</w:t>
      </w:r>
    </w:p>
    <w:p>
      <w:pPr>
        <w:widowControl/>
        <w:spacing w:line="360" w:lineRule="auto"/>
        <w:ind w:firstLine="420"/>
        <w:jc w:val="left"/>
        <w:rPr>
          <w:rFonts w:ascii="仿宋" w:hAnsi="仿宋" w:eastAsia="仿宋" w:cs="Calibri"/>
          <w:color w:val="000000" w:themeColor="text1"/>
          <w:szCs w:val="21"/>
          <w14:textFill>
            <w14:solidFill>
              <w14:schemeClr w14:val="tx1"/>
            </w14:solidFill>
          </w14:textFill>
        </w:rPr>
      </w:pPr>
    </w:p>
    <w:p>
      <w:pPr>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三、采购设备清单：</w:t>
      </w:r>
    </w:p>
    <w:p>
      <w:pPr>
        <w:rPr>
          <w:rFonts w:ascii="仿宋" w:hAnsi="仿宋" w:eastAsia="仿宋"/>
          <w:color w:val="000000" w:themeColor="text1"/>
          <w:szCs w:val="21"/>
          <w14:textFill>
            <w14:solidFill>
              <w14:schemeClr w14:val="tx1"/>
            </w14:solidFill>
          </w14:textFill>
        </w:rPr>
      </w:pPr>
    </w:p>
    <w:tbl>
      <w:tblPr>
        <w:tblStyle w:val="5"/>
        <w:tblW w:w="7700" w:type="dxa"/>
        <w:tblInd w:w="-5" w:type="dxa"/>
        <w:tblLayout w:type="autofit"/>
        <w:tblCellMar>
          <w:top w:w="0" w:type="dxa"/>
          <w:left w:w="108" w:type="dxa"/>
          <w:bottom w:w="0" w:type="dxa"/>
          <w:right w:w="108" w:type="dxa"/>
        </w:tblCellMar>
      </w:tblPr>
      <w:tblGrid>
        <w:gridCol w:w="851"/>
        <w:gridCol w:w="2410"/>
        <w:gridCol w:w="1984"/>
        <w:gridCol w:w="709"/>
        <w:gridCol w:w="666"/>
        <w:gridCol w:w="1080"/>
      </w:tblGrid>
      <w:tr>
        <w:tblPrEx>
          <w:tblCellMar>
            <w:top w:w="0" w:type="dxa"/>
            <w:left w:w="108" w:type="dxa"/>
            <w:bottom w:w="0" w:type="dxa"/>
            <w:right w:w="108" w:type="dxa"/>
          </w:tblCellMar>
        </w:tblPrEx>
        <w:trPr>
          <w:trHeight w:val="288" w:hRule="atLeast"/>
        </w:trPr>
        <w:tc>
          <w:tcPr>
            <w:tcW w:w="85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序号</w:t>
            </w:r>
          </w:p>
        </w:tc>
        <w:tc>
          <w:tcPr>
            <w:tcW w:w="241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产品名称</w:t>
            </w:r>
          </w:p>
        </w:tc>
        <w:tc>
          <w:tcPr>
            <w:tcW w:w="1984"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基本参数</w:t>
            </w:r>
          </w:p>
        </w:tc>
        <w:tc>
          <w:tcPr>
            <w:tcW w:w="7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数量</w:t>
            </w:r>
          </w:p>
        </w:tc>
        <w:tc>
          <w:tcPr>
            <w:tcW w:w="66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单位</w:t>
            </w:r>
          </w:p>
        </w:tc>
        <w:tc>
          <w:tcPr>
            <w:tcW w:w="108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采购预算</w:t>
            </w:r>
          </w:p>
        </w:tc>
      </w:tr>
      <w:tr>
        <w:tblPrEx>
          <w:tblCellMar>
            <w:top w:w="0" w:type="dxa"/>
            <w:left w:w="108" w:type="dxa"/>
            <w:bottom w:w="0" w:type="dxa"/>
            <w:right w:w="108" w:type="dxa"/>
          </w:tblCellMar>
        </w:tblPrEx>
        <w:trPr>
          <w:trHeight w:val="288" w:hRule="atLeast"/>
        </w:trPr>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运维一体机(含工具箱)</w:t>
            </w:r>
          </w:p>
        </w:tc>
        <w:tc>
          <w:tcPr>
            <w:tcW w:w="1984"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（详见采购文件）</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666"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台</w:t>
            </w:r>
          </w:p>
        </w:tc>
        <w:tc>
          <w:tcPr>
            <w:tcW w:w="10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Cs w:val="21"/>
              </w:rPr>
            </w:pPr>
          </w:p>
        </w:tc>
      </w:tr>
      <w:tr>
        <w:tblPrEx>
          <w:tblCellMar>
            <w:top w:w="0" w:type="dxa"/>
            <w:left w:w="108" w:type="dxa"/>
            <w:bottom w:w="0" w:type="dxa"/>
            <w:right w:w="108" w:type="dxa"/>
          </w:tblCellMar>
        </w:tblPrEx>
        <w:trPr>
          <w:trHeight w:val="288" w:hRule="atLeast"/>
        </w:trPr>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2</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备份一体机</w:t>
            </w:r>
          </w:p>
        </w:tc>
        <w:tc>
          <w:tcPr>
            <w:tcW w:w="1984"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（详见采购文件）</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666"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台</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Cs w:val="21"/>
              </w:rPr>
            </w:pPr>
          </w:p>
        </w:tc>
      </w:tr>
      <w:tr>
        <w:tblPrEx>
          <w:tblCellMar>
            <w:top w:w="0" w:type="dxa"/>
            <w:left w:w="108" w:type="dxa"/>
            <w:bottom w:w="0" w:type="dxa"/>
            <w:right w:w="108" w:type="dxa"/>
          </w:tblCellMar>
        </w:tblPrEx>
        <w:trPr>
          <w:trHeight w:val="288" w:hRule="atLeast"/>
        </w:trPr>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虚拟化防火墙</w:t>
            </w:r>
          </w:p>
        </w:tc>
        <w:tc>
          <w:tcPr>
            <w:tcW w:w="1984"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（详见采购文件）</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666"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套</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Cs w:val="21"/>
              </w:rPr>
            </w:pPr>
          </w:p>
        </w:tc>
      </w:tr>
      <w:tr>
        <w:tblPrEx>
          <w:tblCellMar>
            <w:top w:w="0" w:type="dxa"/>
            <w:left w:w="108" w:type="dxa"/>
            <w:bottom w:w="0" w:type="dxa"/>
            <w:right w:w="108" w:type="dxa"/>
          </w:tblCellMar>
        </w:tblPrEx>
        <w:trPr>
          <w:trHeight w:val="288" w:hRule="atLeast"/>
        </w:trPr>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4</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存储池扩容</w:t>
            </w:r>
          </w:p>
        </w:tc>
        <w:tc>
          <w:tcPr>
            <w:tcW w:w="1984"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（详见采购文件）</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若干</w:t>
            </w:r>
          </w:p>
        </w:tc>
        <w:tc>
          <w:tcPr>
            <w:tcW w:w="666"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台</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Cs w:val="21"/>
              </w:rPr>
            </w:pPr>
          </w:p>
        </w:tc>
      </w:tr>
    </w:tbl>
    <w:p/>
    <w:p>
      <w:pPr>
        <w:spacing w:line="360" w:lineRule="auto"/>
        <w:rPr>
          <w:rFonts w:ascii="仿宋" w:hAnsi="仿宋" w:eastAsia="仿宋"/>
          <w:b/>
          <w:bCs/>
          <w:szCs w:val="21"/>
        </w:rPr>
      </w:pPr>
      <w:r>
        <w:rPr>
          <w:rFonts w:hint="eastAsia" w:ascii="仿宋" w:hAnsi="仿宋" w:eastAsia="仿宋"/>
          <w:b/>
          <w:bCs/>
          <w:szCs w:val="21"/>
        </w:rPr>
        <w:t>备注：设备最终用户必须注册成为</w:t>
      </w:r>
      <w:bookmarkStart w:id="0" w:name="_Hlk19884587"/>
      <w:r>
        <w:rPr>
          <w:rFonts w:hint="eastAsia" w:ascii="仿宋" w:hAnsi="仿宋" w:eastAsia="仿宋"/>
          <w:b/>
          <w:bCs/>
          <w:szCs w:val="21"/>
        </w:rPr>
        <w:t>苏州市</w:t>
      </w:r>
      <w:bookmarkEnd w:id="0"/>
      <w:r>
        <w:rPr>
          <w:rFonts w:hint="eastAsia" w:ascii="仿宋" w:hAnsi="仿宋" w:eastAsia="仿宋"/>
          <w:b/>
          <w:bCs/>
          <w:szCs w:val="21"/>
        </w:rPr>
        <w:t>第九人民医院。</w:t>
      </w:r>
    </w:p>
    <w:p>
      <w:pPr>
        <w:ind w:firstLine="422" w:firstLineChars="200"/>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采购设备技术要求：</w:t>
      </w:r>
    </w:p>
    <w:tbl>
      <w:tblPr>
        <w:tblStyle w:val="5"/>
        <w:tblW w:w="0" w:type="auto"/>
        <w:tblInd w:w="0" w:type="dxa"/>
        <w:tblLayout w:type="autofit"/>
        <w:tblCellMar>
          <w:top w:w="0" w:type="dxa"/>
          <w:left w:w="108" w:type="dxa"/>
          <w:bottom w:w="0" w:type="dxa"/>
          <w:right w:w="108" w:type="dxa"/>
        </w:tblCellMar>
      </w:tblPr>
      <w:tblGrid>
        <w:gridCol w:w="1681"/>
        <w:gridCol w:w="6841"/>
      </w:tblGrid>
      <w:tr>
        <w:tblPrEx>
          <w:tblCellMar>
            <w:top w:w="0" w:type="dxa"/>
            <w:left w:w="108" w:type="dxa"/>
            <w:bottom w:w="0" w:type="dxa"/>
            <w:right w:w="108" w:type="dxa"/>
          </w:tblCellMar>
        </w:tblPrEx>
        <w:trPr>
          <w:trHeight w:val="276" w:hRule="atLeast"/>
        </w:trPr>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项目</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详细功能、性能指标要求</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系统架构</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采用B/S架构，支持中文管理界面。</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部署方式</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支持集中式和分布式部署方式，实现跨机房的数据中心运维监控。</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监控对象采用无代理方式部署，支持SNMP、SSH、JMX等采集模式，采集过程要求不影响监控对象的性能。</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可以作为数据中心服务平台单独使用，也可以作为运维云的线下服务终端使用。</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权限</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按不同用户角色，分配监控对象和视图查看权限，实现用户角色和监控对象、视图的查看权限关联</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数据库类型支持</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支持Oracle、SQL Server、MySQL、DB2等数据库。</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状态监控</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支持数据库运行健康状态监控，包括：</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可用性监控：监听、实例、表空间的可用性；</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错误监控：数据库运行过程中的错误数量；</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性能监控：数据块逻辑读指标直观反映数据库性能；</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变化监控：对象（表、索引、视图等）、权限（用户、表）、空间（对象、表空间、归档）的变化量；</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可靠性监控：备份及容灾系统的运行状态。</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★SQL执行监控</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支持SQL 执行生命周期完整监控，包括：登录、解析、执行、提交。</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通过SQL执行次数、SQL执行时间，主观展示SQL执行性能瓶颈。</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bCs/>
                <w:color w:val="000000"/>
                <w:kern w:val="0"/>
                <w:sz w:val="20"/>
                <w:szCs w:val="20"/>
              </w:rPr>
            </w:pPr>
            <w:r>
              <w:rPr>
                <w:rFonts w:hint="eastAsia" w:ascii="仿宋" w:hAnsi="仿宋" w:eastAsia="仿宋" w:cs="宋体"/>
                <w:bCs/>
                <w:color w:val="000000"/>
                <w:kern w:val="0"/>
                <w:sz w:val="20"/>
                <w:szCs w:val="20"/>
              </w:rPr>
              <w:t>提供功能截图</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关联资源监控</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支持数据库关联资源监控，包括：</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数据库资源监控：processes、session、DB files、jobs。</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三大资源锁监控：Mutex、 Latch、 Lock。</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主机资源监控，包括：CPU、内存、存储、网络。</w:t>
            </w:r>
          </w:p>
        </w:tc>
      </w:tr>
      <w:tr>
        <w:tblPrEx>
          <w:tblCellMar>
            <w:top w:w="0" w:type="dxa"/>
            <w:left w:w="108" w:type="dxa"/>
            <w:bottom w:w="0" w:type="dxa"/>
            <w:right w:w="108" w:type="dxa"/>
          </w:tblCellMar>
        </w:tblPrEx>
        <w:trPr>
          <w:trHeight w:val="720" w:hRule="atLeast"/>
        </w:trPr>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★中间件监控</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WebLogic、Tomcat等主流业务中间件监控。采用JMX直接监控Java应用程序服务器的功能，无需第三方模块或集成层。使用高效的Java网关监视Tomcat等应用服务器，包括：JVM可用内存、JVM最大内存、JVM总的内存、线程等。</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bCs/>
                <w:color w:val="000000"/>
                <w:kern w:val="0"/>
                <w:sz w:val="20"/>
                <w:szCs w:val="20"/>
              </w:rPr>
            </w:pPr>
            <w:r>
              <w:rPr>
                <w:rFonts w:hint="eastAsia" w:ascii="仿宋" w:hAnsi="仿宋" w:eastAsia="仿宋" w:cs="宋体"/>
                <w:bCs/>
                <w:color w:val="000000"/>
                <w:kern w:val="0"/>
                <w:sz w:val="20"/>
                <w:szCs w:val="20"/>
              </w:rPr>
              <w:t>提供功能截图</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操作系统监控</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支持Linux、Windows、AIX、HP-UX、Solaris等操作系统监控。监控操作系统的运行状态，包括：主机状态、CPU利用率、内存利用率、磁盘I/O 读写速率、磁盘I/O读写速率，网络I/O等。</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虚拟机监控</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支持VMware虚拟机状态监控，包括：VMware物理主机硬件状态、虚拟机在线状态、CPU利用率、内存大小及利用率、磁盘空间大小及利用率等。</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服务器监控</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支持IBM、HP、DELL、联想、曙光、浪潮等主流物理服务器监控，包括对服务器的硬件状态进行自动告警，包括：CPU、硬盘、电源、风扇、RAID卡等。</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存储监控</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支持EMC、NetApp、IBM、华为等主流存储设备监控，包括：存储系统的磁盘、存储控制器、电源、风扇等运行状态。</w:t>
            </w:r>
          </w:p>
        </w:tc>
      </w:tr>
      <w:tr>
        <w:tblPrEx>
          <w:tblCellMar>
            <w:top w:w="0" w:type="dxa"/>
            <w:left w:w="108" w:type="dxa"/>
            <w:bottom w:w="0" w:type="dxa"/>
            <w:right w:w="108"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网络监控</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华为、H3C、思科、锐捷等主流网络设备监控，包括监控网络设备的在线状态。对网络线路运行状态监控，包括线路连通性、线路响应时间、线路流量、线路带宽利用率、线路错包率、线路丢包率等信息。对网络设备接口状态进行监管，包括接口状态、接口流量性能等信息。</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触发模式</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支持人工阀值模式，可自由设置告警触发阀值库。</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支持智能诊断模式，采用大数据技术和机器学习技术，智能识别异常，并发送警告。</w:t>
            </w:r>
          </w:p>
        </w:tc>
      </w:tr>
      <w:tr>
        <w:tblPrEx>
          <w:tblCellMar>
            <w:top w:w="0" w:type="dxa"/>
            <w:left w:w="108" w:type="dxa"/>
            <w:bottom w:w="0" w:type="dxa"/>
            <w:right w:w="108" w:type="dxa"/>
          </w:tblCellMar>
        </w:tblPrEx>
        <w:trPr>
          <w:trHeight w:val="480"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预封装模版</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预先封装不同监控对象的大屏展示模版，包括：中间件、数据库、操作系统、虚拟机、物理服务器等。实现常见运维故障（80%以上）及隐患能从大屏中直观展示及告警。</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其中数据库监控模版，要求实现：</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1.</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一张大屏可以直观显示监控对象的健康指数，并根据阀值自动告警。</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2.</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从流程及时间模型的角度联动展示各项指标，清晰定位问题环节。</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自主定制</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支持按照业务角度进行关联视图定制。</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支持按照资源种类进行分类和关联视图定制。</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支持机柜图、系统拓扑图、网络拓扑图等视图定制。</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云服务功能</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提供和运维一体机配套的线上运维云服务，实现告警订阅、告警推送、工单流转、数据库专家在线服务等功能</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安全性</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运维云服务采用多租户方式交付，不同租户之间安全隔离。</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运维一体机采用加密通道方式和运维云单向连接。</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告警订阅</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可定义告警推送和服务人员接收的对应关系，包括：告警站点、告警级别、通知方式等。</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告警通知</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按运维对象的重要性和故障级别，可定义不同的告警通知级别。</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告警通知方式支持：邮件、微信、APP。</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支持告警通知升级机制。</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告警日志</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提供待处理告警列表，服务人员快速查阅需要处理但还未处理的告警。</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采用大数据结构的集中管理模式，支持告警日志的高效查询、分析。</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告警日志保存时间要求至少13个月以上。</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工单服务</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提供新建工单、工单流转、工单升级、工单统计报表等功能。</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与告警订阅和服务授权紧耦合。</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针对“待处理告警”，支持一键发起服务工单。</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★工具体验</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提供数据库巡检和AWR报告解读工具，支持离线上传采集包和AWR原生报告，自动生成巡检报告和AWR解读报告。</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数据库专家在线服务支持</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可单独订购远程数据库专家服务。</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通过把数据库告警同步推送给线上数据库专家，并上传诊断资料包，数据库专家结合告警内容和诊断资料包进行分析，给出解决方案和交付服务。</w:t>
            </w:r>
          </w:p>
        </w:tc>
      </w:tr>
      <w:tr>
        <w:tblPrEx>
          <w:tblCellMar>
            <w:top w:w="0" w:type="dxa"/>
            <w:left w:w="108" w:type="dxa"/>
            <w:bottom w:w="0" w:type="dxa"/>
            <w:right w:w="108" w:type="dxa"/>
          </w:tblCellMar>
        </w:tblPrEx>
        <w:trPr>
          <w:trHeight w:val="480"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自动巡检</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白天巡检</w:t>
            </w:r>
            <w:r>
              <w:rPr>
                <w:rFonts w:hint="eastAsia" w:ascii="仿宋" w:hAnsi="仿宋" w:eastAsia="仿宋" w:cs="宋体"/>
                <w:color w:val="333333"/>
                <w:kern w:val="0"/>
                <w:sz w:val="20"/>
                <w:szCs w:val="20"/>
              </w:rPr>
              <w:t>获取一份有关数据库、主机在巡检时间段内所有指标的状态信息，并和上一次白天巡检的结果进行比对，针对异常突变指标进行告警，确保当日所有业务正常运行所需要的主机和数据库资源健康度：</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1.</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主机巡检信息至少包括：业务系统、数据库类型、实例名、主机名、操作系统、CPU、内存等；</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2.</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数据库巡检信息至少包括：健康和风险两大指标评分体系，从可用性、性能、可靠性、变更、错误、告警等维度进行分类展示，指标项大于30项；</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3.</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支持自定义时间及周期的数据库自动巡检；</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4.</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支持告警和错误统计，不同颜色进行正常、告警、错误的分类展示，支持告警详细信息在界面展示；</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5.</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支持问题下钻溯源，并根据定位问题自动匹配解决方案和工具。</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晚上巡检</w:t>
            </w:r>
            <w:r>
              <w:rPr>
                <w:rFonts w:hint="eastAsia" w:ascii="仿宋" w:hAnsi="仿宋" w:eastAsia="仿宋" w:cs="宋体"/>
                <w:color w:val="333333"/>
                <w:kern w:val="0"/>
                <w:sz w:val="20"/>
                <w:szCs w:val="20"/>
              </w:rPr>
              <w:t>获取一份有关数据库、主机在巡检时间段内所有资源使用趋势信息和指标状态信息，并和上一次晚上巡检的结果进行比对，针对异常突变指标进行告警，确保当晚的所有业务正常运行所需要的主机和数据库资源健康度：</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1.</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晚上巡检的内容至少覆盖白天巡检中主机和数据库的所有指标信息；</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2.</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晚上巡检支持自定义时间及周期、告警错误统计、问题下钻；</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3.</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晚上巡检至少提供巡检时间段内的CPU、内存、I/O、进程、表空间、日志、逻辑读趋势分析图，分析</w:t>
            </w:r>
            <w:r>
              <w:rPr>
                <w:rFonts w:hint="eastAsia" w:ascii="仿宋" w:hAnsi="仿宋" w:eastAsia="仿宋" w:cs="宋体"/>
                <w:color w:val="333333"/>
                <w:kern w:val="0"/>
                <w:sz w:val="20"/>
                <w:szCs w:val="20"/>
              </w:rPr>
              <w:t>当天主机和数据库的资源使用情况，以确保主机和数据库的资源能否在“无人值守”的情况下，支撑业务端正常运行。</w:t>
            </w:r>
          </w:p>
        </w:tc>
      </w:tr>
      <w:tr>
        <w:tblPrEx>
          <w:tblCellMar>
            <w:top w:w="0" w:type="dxa"/>
            <w:left w:w="108" w:type="dxa"/>
            <w:bottom w:w="0" w:type="dxa"/>
            <w:right w:w="108" w:type="dxa"/>
          </w:tblCellMar>
        </w:tblPrEx>
        <w:trPr>
          <w:trHeight w:val="480"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全面巡检</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需要对巡检对象的业务系统、数据库类型、实例名、操作系统、IP地址、巡检完成时间等信息进行全面巡检。</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支持巡检对象的异常信息数量统计，运维人员可及时掌控各系统数据库的健康状况。</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整合资深数据库专家的多年运维经验，形成专家智能系统，</w:t>
            </w:r>
            <w:r>
              <w:rPr>
                <w:rFonts w:hint="eastAsia" w:ascii="仿宋" w:hAnsi="仿宋" w:eastAsia="仿宋" w:cs="宋体"/>
                <w:color w:val="333333"/>
                <w:kern w:val="0"/>
                <w:sz w:val="20"/>
                <w:szCs w:val="20"/>
              </w:rPr>
              <w:t>根据数据库的健康状态，给出专业的分析，对数据库可能存在的故障和问题进行快速定位，对每个异常指标提供专业解读和排错建议：</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1.</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支持一键操作实现全面巡检；</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2.</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全面巡检的报告内容至少包括：数据库可用性、空间管理、安全性、可靠性、性能、错误、主机资源、数据库资源、数据库软件、数据库参数、系统参数等信息；</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3.</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支持在线和以PDF文档导出两种方式查看巡检报告。</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巡检记录</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支持保存数据库对象至少90天的自动巡检和全面巡检记录。</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支持自定义时间，IP、实例名和业务系统名称等关键字智能查询巡检记录。</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AWR报告生成与解读</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支持至少7天内任意时间点（间隔为1小时）AWR报告生成。</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需要对数据库对象的业务系统、数据库类型、实例名、操作系统、IP地址、报告开始时间和结束时间等信息进行展示。</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支持AWR报告全中文解读，解读内容至少包括：主机资源、数据库内存、会话登录、SQL解析、SQL执行、事务提交、RAC统计、数据库参数建议等。</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整合资深数据库专家的多年数据库性能优化经验，形成专家智能分析系统，</w:t>
            </w:r>
            <w:r>
              <w:rPr>
                <w:rFonts w:hint="eastAsia" w:ascii="仿宋" w:hAnsi="仿宋" w:eastAsia="仿宋" w:cs="宋体"/>
                <w:color w:val="333333"/>
                <w:kern w:val="0"/>
                <w:sz w:val="20"/>
                <w:szCs w:val="20"/>
              </w:rPr>
              <w:t>根据数据库的性能状况，给出专业的分析，对数据库可能存在的性能瓶颈进行快速定位，对每个异常指标提供专业解读和优化建议。</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提供在线和PDF文档两种方式查看解读报告。</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归档日志清理</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支持数据库归档和非归档模式查询。</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提供归档路径、归档空间使用率、备份成功开始时间、最近归档时间等信息。</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提供至少2种方式清理归档日志，涵盖紧急和普通两种情景。</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清理策略：清理</w:t>
            </w:r>
            <w:r>
              <w:rPr>
                <w:rFonts w:hint="eastAsia" w:ascii="仿宋" w:hAnsi="仿宋" w:eastAsia="仿宋" w:cs="宋体"/>
                <w:color w:val="333333"/>
                <w:kern w:val="0"/>
                <w:sz w:val="20"/>
                <w:szCs w:val="20"/>
              </w:rPr>
              <w:t>最近一次全备份成功开始时间之前的全部归档日志或</w:t>
            </w:r>
            <w:r>
              <w:rPr>
                <w:rFonts w:hint="eastAsia" w:ascii="仿宋" w:hAnsi="仿宋" w:eastAsia="仿宋" w:cs="宋体"/>
                <w:color w:val="000000"/>
                <w:kern w:val="0"/>
                <w:sz w:val="20"/>
                <w:szCs w:val="20"/>
              </w:rPr>
              <w:t>清理一小时以外的归档日志。</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SQL诊断</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支持单个SQL ID诊断。</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提供SQL诊断报告，报告内容至少包括：SQL ID、SQL文本、SQL执行计划和SQL优化建议。</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支持在线和PDF文档两种方式查看SQL诊断报告。</w:t>
            </w:r>
          </w:p>
        </w:tc>
      </w:tr>
      <w:tr>
        <w:tblPrEx>
          <w:tblCellMar>
            <w:top w:w="0" w:type="dxa"/>
            <w:left w:w="108" w:type="dxa"/>
            <w:bottom w:w="0" w:type="dxa"/>
            <w:right w:w="108" w:type="dxa"/>
          </w:tblCellMar>
        </w:tblPrEx>
        <w:trPr>
          <w:trHeight w:val="480"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锁处理</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333333"/>
                <w:kern w:val="0"/>
                <w:sz w:val="20"/>
                <w:szCs w:val="20"/>
              </w:rPr>
            </w:pPr>
            <w:r>
              <w:rPr>
                <w:rFonts w:hint="eastAsia" w:ascii="仿宋" w:hAnsi="仿宋" w:eastAsia="仿宋" w:cs="宋体"/>
                <w:color w:val="333333"/>
                <w:kern w:val="0"/>
                <w:sz w:val="20"/>
                <w:szCs w:val="20"/>
              </w:rPr>
              <w:t>当遇到两个事务竞争同一资源而发生锁故障时，会严重影响业务系统连续性及性能，需提供自动锁处理工具：</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1.</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支持自动定位锁源及被锁源阻塞的会话；</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2.</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支持SQL锁源现场保留；</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支持一键杀锁操作。</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错误日志</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支持数据库错误日志统计和关联分析。</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支持图表分析统计。</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支持错误日志历史数据查询，自定义查询。</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专家咨询</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当数据库出现故障或问题时，运维产品需提供故障信息采集及打包工具：</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1.</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一键故障日志采集，采集时间范围可自定义，方便提供专家需要的故障信息；</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2.</w:t>
            </w:r>
            <w:r>
              <w:rPr>
                <w:rFonts w:hint="eastAsia" w:ascii="Calibri" w:hAnsi="Calibri" w:eastAsia="仿宋" w:cs="Calibri"/>
                <w:color w:val="000000"/>
                <w:kern w:val="0"/>
                <w:sz w:val="20"/>
                <w:szCs w:val="20"/>
              </w:rPr>
              <w:t>  </w:t>
            </w:r>
            <w:r>
              <w:rPr>
                <w:rFonts w:hint="eastAsia" w:ascii="仿宋" w:hAnsi="仿宋" w:eastAsia="仿宋" w:cs="宋体"/>
                <w:color w:val="000000"/>
                <w:kern w:val="0"/>
                <w:sz w:val="20"/>
                <w:szCs w:val="20"/>
              </w:rPr>
              <w:t xml:space="preserve"> 故障日志至少包括：操作系统日志、操作系统监控日志、数据库alert日志，trace日志以及集群日志等；</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支持巡检报告、AWR报告以及日志文件打包。</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趋势分析</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支持数据库运行趋势的智能分析，提供运行趋势图，至少包括：主机资源使用趋势、数据库性能趋势、业务波动趋势等分析。</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产品形态</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软硬件一体机方式</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硬件指标</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2U机架式</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内存≥16G</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存储空间≥2T</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至少提供4个网口</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授权数量</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支持8个数据库实例，100个监控节点</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产品资质</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具有自主知识产权，非OEM产品，投标时提供产品著作权登记证书</w:t>
            </w:r>
          </w:p>
        </w:tc>
      </w:tr>
      <w:tr>
        <w:tblPrEx>
          <w:tblCellMar>
            <w:top w:w="0" w:type="dxa"/>
            <w:left w:w="108" w:type="dxa"/>
            <w:bottom w:w="0" w:type="dxa"/>
            <w:right w:w="108" w:type="dxa"/>
          </w:tblCellMar>
        </w:tblPrEx>
        <w:trPr>
          <w:trHeight w:val="276" w:hRule="atLeast"/>
        </w:trPr>
        <w:tc>
          <w:tcPr>
            <w:tcW w:w="0" w:type="auto"/>
            <w:tcBorders>
              <w:top w:val="nil"/>
              <w:left w:val="nil"/>
              <w:bottom w:val="nil"/>
              <w:right w:val="nil"/>
            </w:tcBorders>
            <w:shd w:val="clear" w:color="auto" w:fill="auto"/>
            <w:noWrap/>
            <w:vAlign w:val="bottom"/>
          </w:tcPr>
          <w:p>
            <w:pPr>
              <w:widowControl/>
              <w:rPr>
                <w:rFonts w:ascii="仿宋" w:hAnsi="仿宋" w:eastAsia="仿宋" w:cs="宋体"/>
                <w:color w:val="000000"/>
                <w:kern w:val="0"/>
                <w:sz w:val="20"/>
                <w:szCs w:val="20"/>
              </w:rPr>
            </w:pPr>
          </w:p>
        </w:tc>
        <w:tc>
          <w:tcPr>
            <w:tcW w:w="0" w:type="auto"/>
            <w:tcBorders>
              <w:top w:val="nil"/>
              <w:left w:val="nil"/>
              <w:bottom w:val="nil"/>
              <w:right w:val="nil"/>
            </w:tcBorders>
            <w:shd w:val="clear" w:color="auto" w:fill="auto"/>
            <w:noWrap/>
            <w:vAlign w:val="bottom"/>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88" w:hRule="atLeast"/>
        </w:trPr>
        <w:tc>
          <w:tcPr>
            <w:tcW w:w="0" w:type="auto"/>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备份一体机 1台</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nil"/>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项目</w:t>
            </w:r>
          </w:p>
        </w:tc>
        <w:tc>
          <w:tcPr>
            <w:tcW w:w="0" w:type="auto"/>
            <w:tcBorders>
              <w:top w:val="nil"/>
              <w:left w:val="nil"/>
              <w:bottom w:val="nil"/>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详细功能、性能指标要求</w:t>
            </w:r>
          </w:p>
        </w:tc>
      </w:tr>
      <w:tr>
        <w:tblPrEx>
          <w:tblCellMar>
            <w:top w:w="0" w:type="dxa"/>
            <w:left w:w="108" w:type="dxa"/>
            <w:bottom w:w="0" w:type="dxa"/>
            <w:right w:w="108" w:type="dxa"/>
          </w:tblCellMar>
        </w:tblPrEx>
        <w:trPr>
          <w:trHeight w:val="276"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产品资质</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非OEM产品，具有自主研发能力</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系统架构</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机架式备份容灾存储设备，存储系统软件与备份容灾软件整合为一体，无需再额外配置备份服务器</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基于Linux 64位系统(非Windows或Unix)的专用容灾备份存储设备，减少病毒感染机率，确保系统稳定</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硬件规格</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CPU：配置≥1颗1.7GHz八核intel Bronze 3106处理器</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内存：配置≥32GB高速缓存</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系统盘：备份设备系统盘配置≥2块240GB企业级SSD，通过硬件RAID1（考虑性能，不接受LVM和软RAID）保护，以确保备份系统的安全性和可用性</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数据盘：配置≥8块8TB SATA磁盘</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网络接口：</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提供2个板载千兆GE网口+2个10GE光口; 支持3个PCIe槽；</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支持扩展8Gb/16Gb FC HBA卡 ; 支持扩展千兆/万兆网卡以及万兆光口网卡；</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平台兼容性</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备份系统支持Windows/Linux/Unix操作系统，满足对32/64位系统平台及应用支持，满足IT系统复杂性和兼容性需求</w:t>
            </w:r>
          </w:p>
        </w:tc>
      </w:tr>
      <w:tr>
        <w:tblPrEx>
          <w:tblCellMar>
            <w:top w:w="0" w:type="dxa"/>
            <w:left w:w="108" w:type="dxa"/>
            <w:bottom w:w="0" w:type="dxa"/>
            <w:right w:w="108"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★永久增量</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永久增量备份技术，初次备份对所有数据进行完全备份，之后只对新增加或改动过的数据做增量备份。每个增量备份的数据副本将自动合成为完全副本，能够大幅度减少备份时间，节省备份数据所需的存储空间，且提升了恢复效率，可大幅提高备份恢复效率，要求</w:t>
            </w:r>
            <w:r>
              <w:rPr>
                <w:rFonts w:hint="eastAsia" w:ascii="仿宋" w:hAnsi="仿宋" w:eastAsia="仿宋" w:cs="宋体"/>
                <w:color w:val="000000" w:themeColor="text1"/>
                <w:kern w:val="0"/>
                <w:sz w:val="20"/>
                <w:szCs w:val="20"/>
                <w14:textFill>
                  <w14:solidFill>
                    <w14:schemeClr w14:val="tx1"/>
                  </w14:solidFill>
                </w14:textFill>
              </w:rPr>
              <w:t>提供此功能的配置截图</w:t>
            </w:r>
          </w:p>
        </w:tc>
      </w:tr>
      <w:tr>
        <w:tblPrEx>
          <w:tblCellMar>
            <w:top w:w="0" w:type="dxa"/>
            <w:left w:w="108" w:type="dxa"/>
            <w:bottom w:w="0" w:type="dxa"/>
            <w:right w:w="108"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集群化</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备份系统采用集群架构，多个备份节点可组成一个高可用的备份系统，避免因软硬件故障、人为误操作等造成备份系统不可用的问题的发生；支持自动监控备份节点服务状态，当备份节点出现故障时，会自动将受故障影响的备份任务分配到正常工作的备份节点上执行.并将有故障的节点从备份集群系统中移除。当故障备份节点修复后，将自动加入到备份集群系统中。</w:t>
            </w:r>
          </w:p>
        </w:tc>
      </w:tr>
      <w:tr>
        <w:tblPrEx>
          <w:tblCellMar>
            <w:top w:w="0" w:type="dxa"/>
            <w:left w:w="108" w:type="dxa"/>
            <w:bottom w:w="0" w:type="dxa"/>
            <w:right w:w="108"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重复数据删除</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基于源端变长算法（可自主设置数据块大小的范围，而不是指定数据块大小）的重复数据删除技术；支持全局级、文件级、任务级重复数据删除，并且可以同时启用，可设定阈值，当文件大于阈值时直接对整个文件进行重复数据删除校验而无需切片校验，提升大文件环境下的重复数据删除和备份效率</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数据库保护</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支持以非脚本的向导方式对数据库应用进行保护，减少维护和部署复杂度</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支持对SQL Server、Oracle、Sybase、Exchange Server、SAP HANA、Lotus Domino、DB2、MySQL、AD、Gbase、达梦数据库、神通数据库等国内外数据库主流应用在线备份保护</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支持以非脚本的方式实现对Oracle数据库的单表级细粒度恢复，且支持在线恢复，不影响恢复过程中对Oracle其它正常数据的在线使用，</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支持Exchange Server的单邮件级细粒度恢复，且支持在线恢复，不影响恢复过程中对Exchange Server其它正常数据的在线使用</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支持自动发现业务服务器中的数据库数据，可直接探测显示出需要保护的数据库的实例</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★虚拟化保护</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支持对VMware vSphere虚拟机无代理方式备份保护</w:t>
            </w:r>
            <w:r>
              <w:rPr>
                <w:rFonts w:hint="eastAsia" w:ascii="仿宋" w:hAnsi="仿宋" w:eastAsia="仿宋" w:cs="宋体"/>
                <w:color w:val="000000" w:themeColor="text1"/>
                <w:kern w:val="0"/>
                <w:sz w:val="20"/>
                <w:szCs w:val="20"/>
                <w14:textFill>
                  <w14:solidFill>
                    <w14:schemeClr w14:val="tx1"/>
                  </w14:solidFill>
                </w14:textFill>
              </w:rPr>
              <w:t>（提供VMware Ready认证）</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支持Vmware虚拟化备份数据，无需恢复过程，可以直接将备份的虚拟机通过挂载的方式即时可用，支持单虚拟机粒度挂载，并支持虚拟机挂载后是否自动开机和联网</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支持华为FusionCloud、FusionSphere的无代理备份保护，且要求针对华为云平台实现基于Active_snapshots快照一致性接口实现当华为云平台中的虚拟机存在多个存储卷时能确保一起快照实现一致性的保证，确保数据可恢复性</w:t>
            </w:r>
            <w:r>
              <w:rPr>
                <w:rFonts w:hint="eastAsia" w:ascii="仿宋" w:hAnsi="仿宋" w:eastAsia="仿宋" w:cs="宋体"/>
                <w:color w:val="000000" w:themeColor="text1"/>
                <w:kern w:val="0"/>
                <w:sz w:val="20"/>
                <w:szCs w:val="20"/>
                <w14:textFill>
                  <w14:solidFill>
                    <w14:schemeClr w14:val="tx1"/>
                  </w14:solidFill>
                </w14:textFill>
              </w:rPr>
              <w:t>（提供Huawei Ready 认证）</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支持华三CloudOS、CAS的无代理备份保护，且要求针对华三云平台实现基于H3C CAS RESTFul Web Services API内部快照的保护机制，而非libvirt的外部快照实现机制，降低对于云平台的性能开销和影响，</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NDMP保护</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支持通过NDMP协议针对NAS存储进行Server Less备份保护</w:t>
            </w:r>
          </w:p>
        </w:tc>
      </w:tr>
      <w:tr>
        <w:tblPrEx>
          <w:tblCellMar>
            <w:top w:w="0" w:type="dxa"/>
            <w:left w:w="108" w:type="dxa"/>
            <w:bottom w:w="0" w:type="dxa"/>
            <w:right w:w="108" w:type="dxa"/>
          </w:tblCellMar>
        </w:tblPrEx>
        <w:trPr>
          <w:trHeight w:val="480"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云平台保护</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支持将备份数据复制到第三方云厂商的云存储中，实现云备份异地数据灾备，支持包括阿里云、Microsoft Azure、UCloud、EMC Atmos、Amazon S3、华为OBS等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支持对于OpenStack云平台的无代理备份保护，无需在虚拟机中安装客户端代理，采用专用接口进行无代理方式备份，备份恢复权限和云租户权限一致</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数据加密</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支持以AES256位加密算法对备份数据进行加密，确保备份数据无泄密风险</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海量小文件备份</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针对海量小文件进行卷级备份保护，支持基于数据块级的文件数据捕获（非文件对象级的数据捕获），不需要快照，不需要遍历所有文件目录，整体提升备份速度，并且可支持单文件级细粒度恢复。</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可管理性</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 https 方式登录，确保登录安全</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★软件授权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不限制Windows/Linux服务器和PC机下系统、文件、数据库的备份恢复数授权量；</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实现对Windows、Linux等操作系统的在线备份；</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实现对Oracle、SQL、Sybase、DB2、MySQL、Gbase、达梦数据库，神通数据库等数据库主流应用进行在线备份保护；</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不限制VMware、Fusion Sphere、CAS虚拟化平台备份恢复数量；</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不限制受保护的服务器和PC机数量、不限制被保护的数据库类型和数据库部署架构、不限制操作系统备份和恢复功能；</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配置永久增量功能许可，不限制前端以及后端的数据量大小；</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配置源端重复数据删除功能许可，不限制前端以及后端重复数据删除的数据量大小；</w:t>
            </w:r>
          </w:p>
        </w:tc>
      </w:tr>
      <w:tr>
        <w:tblPrEx>
          <w:tblCellMar>
            <w:top w:w="0" w:type="dxa"/>
            <w:left w:w="108" w:type="dxa"/>
            <w:bottom w:w="0" w:type="dxa"/>
            <w:right w:w="108" w:type="dxa"/>
          </w:tblCellMar>
        </w:tblPrEx>
        <w:trPr>
          <w:trHeight w:val="276" w:hRule="atLeast"/>
        </w:trPr>
        <w:tc>
          <w:tcPr>
            <w:tcW w:w="0" w:type="auto"/>
            <w:tcBorders>
              <w:top w:val="nil"/>
              <w:left w:val="nil"/>
              <w:bottom w:val="nil"/>
              <w:right w:val="nil"/>
            </w:tcBorders>
            <w:shd w:val="clear" w:color="auto" w:fill="auto"/>
            <w:noWrap/>
            <w:vAlign w:val="bottom"/>
          </w:tcPr>
          <w:p>
            <w:pPr>
              <w:widowControl/>
              <w:jc w:val="left"/>
              <w:rPr>
                <w:rFonts w:ascii="仿宋" w:hAnsi="仿宋" w:eastAsia="仿宋" w:cs="宋体"/>
                <w:color w:val="000000"/>
                <w:kern w:val="0"/>
                <w:sz w:val="20"/>
                <w:szCs w:val="20"/>
              </w:rPr>
            </w:pPr>
          </w:p>
        </w:tc>
        <w:tc>
          <w:tcPr>
            <w:tcW w:w="0" w:type="auto"/>
            <w:tcBorders>
              <w:top w:val="nil"/>
              <w:left w:val="nil"/>
              <w:bottom w:val="nil"/>
              <w:right w:val="nil"/>
            </w:tcBorders>
            <w:shd w:val="clear" w:color="auto" w:fill="auto"/>
            <w:noWrap/>
            <w:vAlign w:val="bottom"/>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88" w:hRule="atLeast"/>
        </w:trPr>
        <w:tc>
          <w:tcPr>
            <w:tcW w:w="0" w:type="auto"/>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虚拟化防火墙 1套</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项目</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详细功能、性能指标要求</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系统防护转发吞吐量</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最大可以扩展至1Tbps</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应用层IPS/WAF安全防护吞吐量</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最大可以扩展至200Gbps</w:t>
            </w:r>
          </w:p>
        </w:tc>
      </w:tr>
      <w:tr>
        <w:tblPrEx>
          <w:tblCellMar>
            <w:top w:w="0" w:type="dxa"/>
            <w:left w:w="108" w:type="dxa"/>
            <w:bottom w:w="0" w:type="dxa"/>
            <w:right w:w="108"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虚拟化平台授权物理集群服务器数量（按CPU数量进行授权）</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最大可以扩展至200台物理服务器集群，按CPU数量进行License授权。</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最大并发连接数</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最大可以扩展至3.4亿</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每秒新建连接数</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最大可以扩展至600万</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安全业务虚机数量</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最大可以扩展至200台安全业务虚机；</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安全业务虚机配置</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单台安全业务虚机配置不高于2核vCPU 、4G内存；</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网络环境兼容性</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支持与思科ACI方案对接，且无需进行二次开发</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无需占用超过3个管理IP地址</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虚机环境兼容性</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无需对现有虚机环境进行更改，部署产品后对与虚机侧无感知</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无需VCenter的ROOT账号密码</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管理环境兼容性</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支持与网管平台对接，可以读取日志、下发配置等</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★虚拟化平台</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支持VMware（ESXi 5.5/6.0/6.5/6.7）等版本，无需vShield、NSX Manager组件支持；</w:t>
            </w:r>
            <w:r>
              <w:rPr>
                <w:rFonts w:hint="eastAsia" w:ascii="仿宋" w:hAnsi="仿宋" w:eastAsia="仿宋" w:cs="宋体"/>
                <w:color w:val="000000" w:themeColor="text1"/>
                <w:kern w:val="0"/>
                <w:sz w:val="20"/>
                <w:szCs w:val="20"/>
                <w14:textFill>
                  <w14:solidFill>
                    <w14:schemeClr w14:val="tx1"/>
                  </w14:solidFill>
                </w14:textFill>
              </w:rPr>
              <w:t>此次项目提供16个CPU的3年软件更新、升级服务和电话支持服务；</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★架构设计</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管理、主控、业务模块分离的全分布式架构系统，100%网络安全解决方案，</w:t>
            </w:r>
            <w:r>
              <w:rPr>
                <w:rFonts w:hint="eastAsia" w:ascii="仿宋" w:hAnsi="仿宋" w:eastAsia="仿宋" w:cs="宋体"/>
                <w:bCs/>
                <w:color w:val="000000"/>
                <w:kern w:val="0"/>
                <w:sz w:val="20"/>
                <w:szCs w:val="20"/>
              </w:rPr>
              <w:t>无需在Hypervisor或虚拟机内部安装驱动软件或代理软件</w:t>
            </w:r>
            <w:r>
              <w:rPr>
                <w:rFonts w:hint="eastAsia" w:ascii="仿宋" w:hAnsi="仿宋" w:eastAsia="仿宋" w:cs="宋体"/>
                <w:color w:val="000000"/>
                <w:kern w:val="0"/>
                <w:sz w:val="20"/>
                <w:szCs w:val="20"/>
              </w:rPr>
              <w:t>，仅有一套统一管理界面，不需要对各业务模块单独管理</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自动化适应</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★支持虚拟机的迁移(vMotion)时安全状态自动跟随</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支持动态获取虚拟机名字和地址对应关系，实现基于虚拟机名字的访问控制策略</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部署模式</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支持透明串接和旁路模式部署、无需改变现有的虚拟机配置和网络结构</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支持安全服务、服务容量可随用户物理主机的增长而扩展</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用户的虚拟机可被随时加入或者移出安全服务</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安装部署和业务管理全程图形界面</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动态地址薄，定义虚机地址簿支持采用通配符方式调用</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高可用性 (HA)</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主控模块支持主备模式</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支持虚拟机迁移时既有会话不断，以及系统升级时既有会话不断，要求用ssh和ftp测试</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安全业务模块出现故障后对整机无影响、接入该安全业务模块的虚拟机业务自动脱离</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应用识别</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具备全新一代基于应用特征、行为和关联信息的应用识别</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支持应用类别、风险等级等多维度的应用定义， </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应用特征库不少于3500种</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应用特征库支持离线更新和网络实时更新</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虚拟网络可视化</w:t>
            </w:r>
          </w:p>
        </w:tc>
        <w:tc>
          <w:tcPr>
            <w:tcW w:w="0" w:type="auto"/>
            <w:tcBorders>
              <w:top w:val="nil"/>
              <w:left w:val="nil"/>
              <w:bottom w:val="single" w:color="auto" w:sz="4" w:space="0"/>
              <w:right w:val="single" w:color="auto" w:sz="4" w:space="0"/>
            </w:tcBorders>
            <w:shd w:val="clear" w:color="000000"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支持虚拟机资产发现、支持对流量、应用、威胁的统计</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自动化展示出外部网、虚拟网络、VLAN、端口组内的虚拟机之间的流量、应用、会话日志、安全攻击、威胁事件等信息；</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支持对接入服务的虚拟机进行全方位的网络监控</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支持会话日志、威胁日志、系统日志等</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支持以逻辑拓扑图的方式展示可视化效果，</w:t>
            </w:r>
            <w:r>
              <w:rPr>
                <w:rFonts w:hint="eastAsia" w:ascii="仿宋" w:hAnsi="仿宋" w:eastAsia="仿宋" w:cs="宋体"/>
                <w:color w:val="000000" w:themeColor="text1"/>
                <w:kern w:val="0"/>
                <w:sz w:val="20"/>
                <w:szCs w:val="20"/>
                <w14:textFill>
                  <w14:solidFill>
                    <w14:schemeClr w14:val="tx1"/>
                  </w14:solidFill>
                </w14:textFill>
              </w:rPr>
              <w:t>需提供相关截图证明</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虚拟防火墙</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支持按照应用、时间、虚拟机名字、IP地址、服务端口等方式对数据进行访问控制</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支持ALG应用，包括：FTP、TFTP、RTSP、HTTP等</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支持对防火墙策略命中次数进行统计</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支持会话控制功能，要求能够基于源IP/源IP范围、目的IP/目的IP范围、角色、应用协议四种条件做会话数限制</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支持多种畸形报文攻击防护</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支持SYN Flood、DNS Query Flood等多种DoS/DDoS攻击防护</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支持端口扫描防护</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支持ARP攻击防护</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IPv6</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支持IPv6网络环境，支持以虚机为对象，按需引流</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nil"/>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扩展能力</w:t>
            </w:r>
          </w:p>
        </w:tc>
        <w:tc>
          <w:tcPr>
            <w:tcW w:w="0" w:type="auto"/>
            <w:tcBorders>
              <w:top w:val="nil"/>
              <w:left w:val="nil"/>
              <w:bottom w:val="nil"/>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可扩展支持入侵防御、病毒过滤、URL过滤等功能</w:t>
            </w:r>
          </w:p>
        </w:tc>
      </w:tr>
      <w:tr>
        <w:tblPrEx>
          <w:tblCellMar>
            <w:top w:w="0" w:type="dxa"/>
            <w:left w:w="108" w:type="dxa"/>
            <w:bottom w:w="0" w:type="dxa"/>
            <w:right w:w="108" w:type="dxa"/>
          </w:tblCellMar>
        </w:tblPrEx>
        <w:trPr>
          <w:trHeight w:val="48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安全管理平台统一运维管理</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虚拟化防护系统必须在安全管理平台中支持曲线图显示虚拟化防护系统的CPU利用率、内存使用率、会话数、总流量、攻击数</w:t>
            </w:r>
            <w:r>
              <w:rPr>
                <w:rFonts w:hint="eastAsia" w:ascii="仿宋" w:hAnsi="仿宋" w:eastAsia="仿宋" w:cs="宋体"/>
                <w:color w:val="000000" w:themeColor="text1"/>
                <w:kern w:val="0"/>
                <w:sz w:val="20"/>
                <w:szCs w:val="20"/>
                <w14:textFill>
                  <w14:solidFill>
                    <w14:schemeClr w14:val="tx1"/>
                  </w14:solidFill>
                </w14:textFill>
              </w:rPr>
              <w:t>需提供相关截图证明</w:t>
            </w:r>
          </w:p>
        </w:tc>
      </w:tr>
      <w:tr>
        <w:tblPrEx>
          <w:tblCellMar>
            <w:top w:w="0" w:type="dxa"/>
            <w:left w:w="108" w:type="dxa"/>
            <w:bottom w:w="0" w:type="dxa"/>
            <w:right w:w="108" w:type="dxa"/>
          </w:tblCellMar>
        </w:tblPrEx>
        <w:trPr>
          <w:trHeight w:val="72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虚拟化防护系统必须在安全管理平台中支持对虚拟化防护系统策略规则的统一集中管理，可以管理所有设备的策略规则，包括查看、编辑、删除设备本身的策略规则，创建共享策略规则并集中下发等，</w:t>
            </w:r>
            <w:r>
              <w:rPr>
                <w:rFonts w:hint="eastAsia" w:ascii="仿宋" w:hAnsi="仿宋" w:eastAsia="仿宋" w:cs="宋体"/>
                <w:color w:val="000000" w:themeColor="text1"/>
                <w:kern w:val="0"/>
                <w:sz w:val="20"/>
                <w:szCs w:val="20"/>
                <w14:textFill>
                  <w14:solidFill>
                    <w14:schemeClr w14:val="tx1"/>
                  </w14:solidFill>
                </w14:textFill>
              </w:rPr>
              <w:t>需提供相关截图证明</w:t>
            </w:r>
          </w:p>
        </w:tc>
      </w:tr>
      <w:tr>
        <w:tblPrEx>
          <w:tblCellMar>
            <w:top w:w="0" w:type="dxa"/>
            <w:left w:w="108" w:type="dxa"/>
            <w:bottom w:w="0" w:type="dxa"/>
            <w:right w:w="108" w:type="dxa"/>
          </w:tblCellMar>
        </w:tblPrEx>
        <w:trPr>
          <w:trHeight w:val="4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虚拟化防护系统必须在安全管理平台中支持安全策略冗余检测和无用的对象（包括服务簿、地址簿、时间表）检测,并生成报表；可显示策略命中次数、策略操作审计记录</w:t>
            </w:r>
          </w:p>
        </w:tc>
      </w:tr>
      <w:tr>
        <w:tblPrEx>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虚拟化防护系统必须在安全管理平台中支持安全策略快照与回滚，为误操作提供恢复机制，</w:t>
            </w:r>
          </w:p>
        </w:tc>
      </w:tr>
      <w:tr>
        <w:tblPrEx>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虚拟化防护系统必须支持网络抓包功能，方便平台内部异常情况的快速排查和定位</w:t>
            </w:r>
          </w:p>
        </w:tc>
      </w:tr>
      <w:tr>
        <w:tblPrEx>
          <w:tblCellMar>
            <w:top w:w="0" w:type="dxa"/>
            <w:left w:w="108" w:type="dxa"/>
            <w:bottom w:w="0" w:type="dxa"/>
            <w:right w:w="108" w:type="dxa"/>
          </w:tblCellMar>
        </w:tblPrEx>
        <w:trPr>
          <w:trHeight w:val="276"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平台可视化呈现与审计</w:t>
            </w: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能够实时监控网络组件的状态，并通过颜色标识呈现</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能够可视化呈现云平台资源状况和虚机防护的数量</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虚机保护和虚机间流量转发能够通过可视化视图查看，并可以实现二级以上检索呈现，能够实现威胁筛选</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★支持虚拟资产分布可视化，可基于虚拟网络-虚拟机分组方式管理，并呈现各分组之间和分组内部的流量交换关系。</w:t>
            </w:r>
            <w:r>
              <w:rPr>
                <w:rFonts w:hint="eastAsia" w:ascii="仿宋" w:hAnsi="仿宋" w:eastAsia="仿宋" w:cs="宋体"/>
                <w:color w:val="000000" w:themeColor="text1"/>
                <w:kern w:val="0"/>
                <w:sz w:val="20"/>
                <w:szCs w:val="20"/>
                <w14:textFill>
                  <w14:solidFill>
                    <w14:schemeClr w14:val="tx1"/>
                  </w14:solidFill>
                </w14:textFill>
              </w:rPr>
              <w:t>需提供相关截图证明</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支持通过流量交互关系图跟踪各个虚拟资产的流量交互、应用、威胁统计状况。</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具备大屏动态展示安全运营状态功能，不依赖其他安全产品</w:t>
            </w:r>
          </w:p>
        </w:tc>
      </w:tr>
      <w:tr>
        <w:tblPrEx>
          <w:tblCellMar>
            <w:top w:w="0" w:type="dxa"/>
            <w:left w:w="108" w:type="dxa"/>
            <w:bottom w:w="0" w:type="dxa"/>
            <w:right w:w="108" w:type="dxa"/>
          </w:tblCellMar>
        </w:tblPrEx>
        <w:trPr>
          <w:trHeight w:val="27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0" w:type="auto"/>
            <w:tcBorders>
              <w:top w:val="nil"/>
              <w:left w:val="nil"/>
              <w:bottom w:val="single" w:color="auto" w:sz="4" w:space="0"/>
              <w:right w:val="single" w:color="auto" w:sz="4" w:space="0"/>
            </w:tcBorders>
            <w:shd w:val="clear" w:color="000000"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具有专门的日志采集组件，能够高速外发产生的日志</w:t>
            </w:r>
          </w:p>
        </w:tc>
      </w:tr>
      <w:tr>
        <w:tblPrEx>
          <w:tblCellMar>
            <w:top w:w="0" w:type="dxa"/>
            <w:left w:w="108" w:type="dxa"/>
            <w:bottom w:w="0" w:type="dxa"/>
            <w:right w:w="108" w:type="dxa"/>
          </w:tblCellMar>
        </w:tblPrEx>
        <w:trPr>
          <w:trHeight w:val="276" w:hRule="atLeast"/>
        </w:trPr>
        <w:tc>
          <w:tcPr>
            <w:tcW w:w="0" w:type="auto"/>
            <w:tcBorders>
              <w:top w:val="nil"/>
              <w:left w:val="nil"/>
              <w:bottom w:val="nil"/>
              <w:right w:val="nil"/>
            </w:tcBorders>
            <w:shd w:val="clear" w:color="auto" w:fill="auto"/>
            <w:noWrap/>
            <w:vAlign w:val="bottom"/>
          </w:tcPr>
          <w:p>
            <w:pPr>
              <w:widowControl/>
              <w:rPr>
                <w:rFonts w:ascii="仿宋" w:hAnsi="仿宋" w:eastAsia="仿宋" w:cs="宋体"/>
                <w:color w:val="000000"/>
                <w:kern w:val="0"/>
                <w:sz w:val="20"/>
                <w:szCs w:val="20"/>
              </w:rPr>
            </w:pPr>
          </w:p>
        </w:tc>
        <w:tc>
          <w:tcPr>
            <w:tcW w:w="0" w:type="auto"/>
            <w:tcBorders>
              <w:top w:val="nil"/>
              <w:left w:val="nil"/>
              <w:bottom w:val="nil"/>
              <w:right w:val="nil"/>
            </w:tcBorders>
            <w:shd w:val="clear" w:color="auto" w:fill="auto"/>
            <w:noWrap/>
            <w:vAlign w:val="bottom"/>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88" w:hRule="atLeast"/>
        </w:trPr>
        <w:tc>
          <w:tcPr>
            <w:tcW w:w="0" w:type="auto"/>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存储扩容  20块</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nil"/>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项目</w:t>
            </w:r>
          </w:p>
        </w:tc>
        <w:tc>
          <w:tcPr>
            <w:tcW w:w="0" w:type="auto"/>
            <w:tcBorders>
              <w:top w:val="nil"/>
              <w:left w:val="nil"/>
              <w:bottom w:val="nil"/>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详细功能、性能指标要求</w:t>
            </w:r>
          </w:p>
        </w:tc>
      </w:tr>
      <w:tr>
        <w:tblPrEx>
          <w:tblCellMar>
            <w:top w:w="0" w:type="dxa"/>
            <w:left w:w="108" w:type="dxa"/>
            <w:bottom w:w="0" w:type="dxa"/>
            <w:right w:w="108" w:type="dxa"/>
          </w:tblCellMar>
        </w:tblPrEx>
        <w:trPr>
          <w:trHeight w:val="276"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品牌要求</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★在现网华为OceanStor 5600 V5上进行扩容，所投产品能与现网华为OceanStor 5600 V5设备配套使用；</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配置要求</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本次扩容配置20块2.5寸1.2TB 10K RPM SAS硬盘；</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售后服务</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提供跟随现网现网华为OceanStor 5600 V5的原厂现场维保服务</w:t>
            </w:r>
          </w:p>
        </w:tc>
      </w:tr>
      <w:tr>
        <w:tblPrEx>
          <w:tblCellMar>
            <w:top w:w="0" w:type="dxa"/>
            <w:left w:w="108" w:type="dxa"/>
            <w:bottom w:w="0" w:type="dxa"/>
            <w:right w:w="108" w:type="dxa"/>
          </w:tblCellMar>
        </w:tblPrEx>
        <w:trPr>
          <w:trHeight w:val="276" w:hRule="atLeast"/>
        </w:trPr>
        <w:tc>
          <w:tcPr>
            <w:tcW w:w="0" w:type="auto"/>
            <w:tcBorders>
              <w:top w:val="nil"/>
              <w:left w:val="nil"/>
              <w:bottom w:val="nil"/>
              <w:right w:val="nil"/>
            </w:tcBorders>
            <w:shd w:val="clear" w:color="auto" w:fill="auto"/>
            <w:noWrap/>
            <w:vAlign w:val="bottom"/>
          </w:tcPr>
          <w:p>
            <w:pPr>
              <w:widowControl/>
              <w:rPr>
                <w:rFonts w:ascii="仿宋" w:hAnsi="仿宋" w:eastAsia="仿宋" w:cs="宋体"/>
                <w:color w:val="000000"/>
                <w:kern w:val="0"/>
                <w:sz w:val="20"/>
                <w:szCs w:val="20"/>
              </w:rPr>
            </w:pPr>
          </w:p>
        </w:tc>
        <w:tc>
          <w:tcPr>
            <w:tcW w:w="0" w:type="auto"/>
            <w:tcBorders>
              <w:top w:val="nil"/>
              <w:left w:val="nil"/>
              <w:bottom w:val="nil"/>
              <w:right w:val="nil"/>
            </w:tcBorders>
            <w:shd w:val="clear" w:color="auto" w:fill="auto"/>
            <w:noWrap/>
            <w:vAlign w:val="bottom"/>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88" w:hRule="atLeast"/>
        </w:trPr>
        <w:tc>
          <w:tcPr>
            <w:tcW w:w="0" w:type="auto"/>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存储扩容  10块+16块</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nil"/>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项目</w:t>
            </w:r>
          </w:p>
        </w:tc>
        <w:tc>
          <w:tcPr>
            <w:tcW w:w="0" w:type="auto"/>
            <w:tcBorders>
              <w:top w:val="nil"/>
              <w:left w:val="nil"/>
              <w:bottom w:val="nil"/>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详细功能、性能指标要求</w:t>
            </w:r>
          </w:p>
        </w:tc>
      </w:tr>
      <w:tr>
        <w:tblPrEx>
          <w:tblCellMar>
            <w:top w:w="0" w:type="dxa"/>
            <w:left w:w="108" w:type="dxa"/>
            <w:bottom w:w="0" w:type="dxa"/>
            <w:right w:w="108" w:type="dxa"/>
          </w:tblCellMar>
        </w:tblPrEx>
        <w:trPr>
          <w:trHeight w:val="276"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品牌要求</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★在现网华为OceanStor 2600 V3上进行扩容，所投产品能与现网华为OceanStor 2600 V3设备配套使用；</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配置要求</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本次扩容配置10块2.5寸1.92TB SSD硬盘和16块3.5寸6TB 7.2K RPM NL-SAS硬盘；</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售后服务</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提供跟随现网OceanStor 2600 V3的原厂现场维保服务</w:t>
            </w:r>
          </w:p>
        </w:tc>
      </w:tr>
      <w:tr>
        <w:tblPrEx>
          <w:tblCellMar>
            <w:top w:w="0" w:type="dxa"/>
            <w:left w:w="108" w:type="dxa"/>
            <w:bottom w:w="0" w:type="dxa"/>
            <w:right w:w="108" w:type="dxa"/>
          </w:tblCellMar>
        </w:tblPrEx>
        <w:trPr>
          <w:trHeight w:val="276" w:hRule="atLeast"/>
        </w:trPr>
        <w:tc>
          <w:tcPr>
            <w:tcW w:w="0" w:type="auto"/>
            <w:tcBorders>
              <w:top w:val="nil"/>
              <w:left w:val="nil"/>
              <w:bottom w:val="nil"/>
              <w:right w:val="nil"/>
            </w:tcBorders>
            <w:shd w:val="clear" w:color="auto" w:fill="auto"/>
            <w:noWrap/>
            <w:vAlign w:val="bottom"/>
          </w:tcPr>
          <w:p>
            <w:pPr>
              <w:widowControl/>
              <w:jc w:val="left"/>
              <w:rPr>
                <w:rFonts w:ascii="仿宋" w:hAnsi="仿宋" w:eastAsia="仿宋" w:cs="宋体"/>
                <w:color w:val="000000"/>
                <w:kern w:val="0"/>
                <w:sz w:val="20"/>
                <w:szCs w:val="20"/>
              </w:rPr>
            </w:pPr>
          </w:p>
        </w:tc>
        <w:tc>
          <w:tcPr>
            <w:tcW w:w="0" w:type="auto"/>
            <w:tcBorders>
              <w:top w:val="nil"/>
              <w:left w:val="nil"/>
              <w:bottom w:val="nil"/>
              <w:right w:val="nil"/>
            </w:tcBorders>
            <w:shd w:val="clear" w:color="auto" w:fill="auto"/>
            <w:noWrap/>
            <w:vAlign w:val="bottom"/>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88" w:hRule="atLeast"/>
        </w:trPr>
        <w:tc>
          <w:tcPr>
            <w:tcW w:w="0" w:type="auto"/>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left"/>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存储扩容  12块</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nil"/>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项目</w:t>
            </w:r>
          </w:p>
        </w:tc>
        <w:tc>
          <w:tcPr>
            <w:tcW w:w="0" w:type="auto"/>
            <w:tcBorders>
              <w:top w:val="nil"/>
              <w:left w:val="nil"/>
              <w:bottom w:val="nil"/>
              <w:right w:val="single" w:color="auto" w:sz="4" w:space="0"/>
            </w:tcBorders>
            <w:shd w:val="clear" w:color="000000" w:fill="FFFFFF"/>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详细功能、性能指标要求</w:t>
            </w:r>
          </w:p>
        </w:tc>
      </w:tr>
      <w:tr>
        <w:tblPrEx>
          <w:tblCellMar>
            <w:top w:w="0" w:type="dxa"/>
            <w:left w:w="108" w:type="dxa"/>
            <w:bottom w:w="0" w:type="dxa"/>
            <w:right w:w="108"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品牌要求</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Cs w:val="21"/>
              </w:rPr>
            </w:pPr>
            <w:r>
              <w:rPr>
                <w:rFonts w:hint="eastAsia" w:ascii="仿宋" w:hAnsi="仿宋" w:eastAsia="仿宋" w:cs="宋体"/>
                <w:color w:val="000000"/>
                <w:kern w:val="0"/>
                <w:szCs w:val="21"/>
              </w:rPr>
              <w:t>★在现网华为OceanStor 2600 V3上进行扩容，所投产品能与现网华为OceanStor 2600 V3设备配套使用；</w:t>
            </w:r>
          </w:p>
        </w:tc>
      </w:tr>
      <w:tr>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配置要求</w:t>
            </w:r>
          </w:p>
        </w:tc>
        <w:tc>
          <w:tcPr>
            <w:tcW w:w="0" w:type="auto"/>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Cs w:val="21"/>
              </w:rPr>
            </w:pPr>
            <w:r>
              <w:rPr>
                <w:rFonts w:hint="eastAsia" w:ascii="仿宋" w:hAnsi="仿宋" w:eastAsia="仿宋" w:cs="宋体"/>
                <w:color w:val="000000"/>
                <w:kern w:val="0"/>
                <w:szCs w:val="21"/>
              </w:rPr>
              <w:t>本次扩容配置12块3.5寸6TB 7.2K RPM NL-SAS硬盘；</w:t>
            </w:r>
          </w:p>
        </w:tc>
      </w:tr>
      <w:tr>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售后服务</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提供跟随现网OceanStor 2600 V3的原厂现场维保服务</w:t>
            </w:r>
          </w:p>
        </w:tc>
      </w:tr>
    </w:tbl>
    <w:p>
      <w:pPr>
        <w:rPr>
          <w:rFonts w:ascii="仿宋" w:hAnsi="仿宋" w:eastAsia="仿宋"/>
          <w:color w:val="000000"/>
          <w:szCs w:val="21"/>
        </w:rPr>
      </w:pPr>
      <w:r>
        <w:rPr>
          <w:rFonts w:hint="eastAsia" w:ascii="仿宋" w:hAnsi="仿宋" w:eastAsia="仿宋"/>
          <w:color w:val="000000"/>
          <w:szCs w:val="21"/>
        </w:rPr>
        <w:t>备注：</w:t>
      </w:r>
    </w:p>
    <w:p>
      <w:pPr>
        <w:rPr>
          <w:rFonts w:ascii="仿宋" w:hAnsi="仿宋" w:eastAsia="仿宋"/>
          <w:color w:val="000000"/>
          <w:szCs w:val="21"/>
        </w:rPr>
      </w:pPr>
      <w:r>
        <w:rPr>
          <w:rFonts w:hint="eastAsia" w:ascii="仿宋" w:hAnsi="仿宋" w:eastAsia="仿宋"/>
          <w:color w:val="000000"/>
          <w:szCs w:val="21"/>
        </w:rPr>
        <w:t>中标后三个工作日内，提供样机进行上述功能要求的逐一测试验证，全部通过后才能执行合同流程，测试中发现虚假应标的行为将予以废标处理并保留对该厂商追究相关责任的权利。</w:t>
      </w:r>
    </w:p>
    <w:p>
      <w:pPr>
        <w:rPr>
          <w:rFonts w:ascii="仿宋" w:hAnsi="仿宋" w:eastAsia="仿宋"/>
          <w:b/>
          <w:szCs w:val="20"/>
        </w:rPr>
      </w:pPr>
      <w:r>
        <w:rPr>
          <w:rFonts w:hint="eastAsia" w:ascii="仿宋" w:hAnsi="仿宋" w:eastAsia="仿宋"/>
          <w:b/>
          <w:szCs w:val="21"/>
        </w:rPr>
        <w:t>四、</w:t>
      </w:r>
      <w:r>
        <w:rPr>
          <w:rFonts w:ascii="仿宋" w:hAnsi="仿宋" w:eastAsia="仿宋"/>
          <w:b/>
          <w:szCs w:val="21"/>
        </w:rPr>
        <w:t>综合评分标准：</w:t>
      </w:r>
    </w:p>
    <w:p>
      <w:pPr>
        <w:spacing w:line="360" w:lineRule="auto"/>
        <w:ind w:left="103"/>
        <w:rPr>
          <w:rFonts w:ascii="仿宋" w:hAnsi="仿宋" w:eastAsia="仿宋"/>
          <w:b/>
          <w:color w:val="000000"/>
          <w:szCs w:val="21"/>
        </w:rPr>
      </w:pPr>
      <w:r>
        <w:rPr>
          <w:rFonts w:hint="eastAsia" w:ascii="仿宋" w:hAnsi="仿宋" w:eastAsia="仿宋"/>
          <w:b/>
          <w:color w:val="000000"/>
          <w:szCs w:val="21"/>
        </w:rPr>
        <w:t>（一）价格分</w:t>
      </w:r>
      <w:r>
        <w:rPr>
          <w:rFonts w:ascii="仿宋" w:hAnsi="仿宋" w:eastAsia="仿宋"/>
          <w:b/>
          <w:color w:val="000000"/>
          <w:szCs w:val="21"/>
        </w:rPr>
        <w:t>:</w:t>
      </w:r>
      <w:r>
        <w:rPr>
          <w:rFonts w:hint="eastAsia" w:ascii="仿宋" w:hAnsi="仿宋" w:eastAsia="仿宋"/>
          <w:b/>
          <w:color w:val="000000"/>
          <w:szCs w:val="21"/>
        </w:rPr>
        <w:t>（最高为</w:t>
      </w:r>
      <w:r>
        <w:rPr>
          <w:rFonts w:ascii="仿宋" w:hAnsi="仿宋" w:eastAsia="仿宋"/>
          <w:b/>
          <w:color w:val="000000"/>
          <w:szCs w:val="21"/>
        </w:rPr>
        <w:t>30</w:t>
      </w:r>
      <w:r>
        <w:rPr>
          <w:rFonts w:hint="eastAsia" w:ascii="仿宋" w:hAnsi="仿宋" w:eastAsia="仿宋"/>
          <w:b/>
          <w:color w:val="000000"/>
          <w:szCs w:val="21"/>
        </w:rPr>
        <w:t>分）</w:t>
      </w:r>
    </w:p>
    <w:p>
      <w:pPr>
        <w:adjustRightInd w:val="0"/>
        <w:snapToGrid w:val="0"/>
        <w:spacing w:line="360" w:lineRule="auto"/>
        <w:rPr>
          <w:rFonts w:ascii="仿宋" w:hAnsi="仿宋" w:eastAsia="仿宋"/>
          <w:color w:val="000000"/>
          <w:szCs w:val="21"/>
        </w:rPr>
      </w:pPr>
      <w:bookmarkStart w:id="1" w:name="_Toc221604912"/>
      <w:bookmarkStart w:id="2" w:name="_Toc221701299"/>
      <w:bookmarkStart w:id="3" w:name="_Toc227034747"/>
      <w:bookmarkStart w:id="4" w:name="_Toc222198311"/>
      <w:bookmarkStart w:id="5" w:name="_Toc227047100"/>
      <w:bookmarkStart w:id="6" w:name="_Toc228616414"/>
      <w:bookmarkStart w:id="7" w:name="_Toc229880453"/>
      <w:bookmarkStart w:id="8" w:name="_Toc221586160"/>
      <w:bookmarkStart w:id="9" w:name="_Toc226971678"/>
      <w:bookmarkStart w:id="10" w:name="_Toc196471462"/>
      <w:bookmarkStart w:id="11" w:name="_Toc221605142"/>
      <w:bookmarkStart w:id="12" w:name="_Toc228616330"/>
      <w:r>
        <w:rPr>
          <w:rFonts w:hint="eastAsia" w:ascii="仿宋" w:hAnsi="仿宋" w:eastAsia="仿宋"/>
          <w:color w:val="000000"/>
          <w:szCs w:val="21"/>
        </w:rPr>
        <w:t>第一步：投标报价低于或等于财政预算价格，为有效投标报价。超财政预算的投标报价文件为未实质性投标文件，不参与评审。</w:t>
      </w:r>
    </w:p>
    <w:p>
      <w:pPr>
        <w:spacing w:line="360" w:lineRule="auto"/>
        <w:rPr>
          <w:rFonts w:ascii="仿宋" w:hAnsi="仿宋" w:eastAsia="仿宋" w:cs="宋体"/>
          <w:color w:val="000000"/>
          <w:szCs w:val="21"/>
        </w:rPr>
      </w:pPr>
      <w:r>
        <w:rPr>
          <w:rFonts w:hint="eastAsia" w:ascii="仿宋" w:hAnsi="仿宋" w:eastAsia="仿宋"/>
          <w:color w:val="000000"/>
          <w:szCs w:val="21"/>
        </w:rPr>
        <w:t>第二步：</w:t>
      </w:r>
      <w:r>
        <w:rPr>
          <w:rFonts w:hint="eastAsia" w:ascii="仿宋" w:hAnsi="仿宋" w:eastAsia="仿宋" w:cs="宋体"/>
          <w:color w:val="000000"/>
          <w:szCs w:val="21"/>
        </w:rPr>
        <w:t>价格分采用低价优先法计算，即满足采购文件要求且投标价格最低的投标报价为评标基准价（如供应商为小型和微型企业、残疾人福利性单位或监狱企业的，其价格给予6%扣除，用扣除后的价格参与评审，如扣除后的价格为最低价的，则作为评标基准价，中标金额则以实际投标报价为准），其价格分为满分30分。</w:t>
      </w:r>
    </w:p>
    <w:p>
      <w:pPr>
        <w:spacing w:line="360" w:lineRule="auto"/>
        <w:rPr>
          <w:rFonts w:ascii="仿宋" w:hAnsi="仿宋" w:eastAsia="仿宋"/>
          <w:color w:val="000000"/>
          <w:szCs w:val="21"/>
        </w:rPr>
      </w:pPr>
      <w:r>
        <w:rPr>
          <w:rFonts w:hint="eastAsia" w:ascii="仿宋" w:hAnsi="仿宋" w:eastAsia="仿宋" w:cs="宋体"/>
          <w:color w:val="000000"/>
          <w:szCs w:val="21"/>
        </w:rPr>
        <w:t>第三步：其他供应商的价格分统一按照下列公式计算</w:t>
      </w:r>
      <w:bookmarkEnd w:id="1"/>
      <w:bookmarkEnd w:id="2"/>
      <w:bookmarkEnd w:id="3"/>
      <w:bookmarkEnd w:id="4"/>
      <w:bookmarkEnd w:id="5"/>
      <w:bookmarkEnd w:id="6"/>
      <w:bookmarkEnd w:id="7"/>
      <w:bookmarkEnd w:id="8"/>
      <w:bookmarkEnd w:id="9"/>
      <w:bookmarkEnd w:id="10"/>
      <w:bookmarkEnd w:id="11"/>
      <w:bookmarkEnd w:id="12"/>
      <w:r>
        <w:rPr>
          <w:rFonts w:hint="eastAsia" w:ascii="仿宋" w:hAnsi="仿宋" w:eastAsia="仿宋"/>
          <w:color w:val="000000"/>
          <w:szCs w:val="20"/>
        </w:rPr>
        <w:t>（计算结果四舍五入保留两位小数）</w:t>
      </w:r>
      <w:r>
        <w:rPr>
          <w:rFonts w:hint="eastAsia" w:ascii="仿宋" w:hAnsi="仿宋" w:eastAsia="仿宋"/>
          <w:color w:val="000000"/>
          <w:szCs w:val="21"/>
        </w:rPr>
        <w:t>：</w:t>
      </w:r>
    </w:p>
    <w:p>
      <w:pPr>
        <w:spacing w:line="360" w:lineRule="auto"/>
        <w:rPr>
          <w:rFonts w:ascii="仿宋" w:hAnsi="仿宋" w:eastAsia="仿宋"/>
          <w:color w:val="000000"/>
          <w:szCs w:val="21"/>
        </w:rPr>
      </w:pPr>
      <w:r>
        <w:rPr>
          <w:rFonts w:hint="eastAsia" w:ascii="仿宋" w:hAnsi="仿宋" w:eastAsia="仿宋"/>
          <w:color w:val="000000"/>
          <w:szCs w:val="21"/>
        </w:rPr>
        <w:t>投标报价得分＝（基准报价</w:t>
      </w:r>
      <w:r>
        <w:rPr>
          <w:rFonts w:ascii="仿宋" w:hAnsi="仿宋" w:eastAsia="仿宋"/>
          <w:color w:val="000000"/>
          <w:szCs w:val="21"/>
        </w:rPr>
        <w:t>/</w:t>
      </w:r>
      <w:r>
        <w:rPr>
          <w:rFonts w:hint="eastAsia" w:ascii="仿宋" w:hAnsi="仿宋" w:eastAsia="仿宋"/>
          <w:color w:val="000000"/>
          <w:szCs w:val="21"/>
        </w:rPr>
        <w:t>投标报价）×</w:t>
      </w:r>
      <w:r>
        <w:rPr>
          <w:rFonts w:ascii="仿宋" w:hAnsi="仿宋" w:eastAsia="仿宋"/>
          <w:color w:val="000000"/>
          <w:szCs w:val="21"/>
        </w:rPr>
        <w:t>30%</w:t>
      </w:r>
      <w:r>
        <w:rPr>
          <w:rFonts w:hint="eastAsia" w:ascii="仿宋" w:hAnsi="仿宋" w:eastAsia="仿宋"/>
          <w:color w:val="000000"/>
          <w:szCs w:val="21"/>
        </w:rPr>
        <w:t>×</w:t>
      </w:r>
      <w:r>
        <w:rPr>
          <w:rFonts w:ascii="仿宋" w:hAnsi="仿宋" w:eastAsia="仿宋"/>
          <w:color w:val="000000"/>
          <w:szCs w:val="21"/>
        </w:rPr>
        <w:t>100</w:t>
      </w:r>
    </w:p>
    <w:p>
      <w:pPr>
        <w:tabs>
          <w:tab w:val="left" w:pos="445"/>
        </w:tabs>
        <w:adjustRightInd w:val="0"/>
        <w:snapToGrid w:val="0"/>
        <w:spacing w:line="360" w:lineRule="auto"/>
        <w:jc w:val="left"/>
        <w:rPr>
          <w:rFonts w:ascii="仿宋" w:hAnsi="仿宋" w:eastAsia="仿宋"/>
          <w:b/>
          <w:color w:val="000000"/>
          <w:szCs w:val="21"/>
        </w:rPr>
      </w:pPr>
      <w:r>
        <w:rPr>
          <w:rFonts w:hint="eastAsia" w:ascii="仿宋" w:hAnsi="仿宋" w:eastAsia="仿宋"/>
          <w:b/>
          <w:color w:val="000000"/>
          <w:szCs w:val="21"/>
        </w:rPr>
        <w:t>（二）技术参数、性能等符合性比较（30分）</w:t>
      </w:r>
    </w:p>
    <w:p>
      <w:pPr>
        <w:tabs>
          <w:tab w:val="left" w:pos="445"/>
        </w:tabs>
        <w:adjustRightInd w:val="0"/>
        <w:snapToGrid w:val="0"/>
        <w:spacing w:line="360" w:lineRule="auto"/>
        <w:jc w:val="left"/>
        <w:rPr>
          <w:rFonts w:ascii="仿宋" w:hAnsi="仿宋" w:eastAsia="仿宋"/>
          <w:color w:val="000000"/>
          <w:szCs w:val="20"/>
        </w:rPr>
      </w:pPr>
      <w:r>
        <w:rPr>
          <w:rFonts w:hint="eastAsia" w:ascii="仿宋" w:hAnsi="仿宋" w:eastAsia="仿宋"/>
          <w:color w:val="000000"/>
          <w:szCs w:val="21"/>
        </w:rPr>
        <w:t>根据投标单位所投设备的技术参数对照表进行评分；其中技术指标出现负偏离，每一个扣1分</w:t>
      </w:r>
      <w:r>
        <w:rPr>
          <w:rFonts w:hint="eastAsia" w:ascii="仿宋" w:hAnsi="仿宋" w:eastAsia="仿宋"/>
          <w:color w:val="auto"/>
          <w:szCs w:val="20"/>
        </w:rPr>
        <w:t>，打“★”的参数须提供相关的证明材料（如截图、彩页、证书复印件等）并加盖原厂公章，否则视为负偏离处理；扣完为止。</w:t>
      </w:r>
      <w:r>
        <w:rPr>
          <w:rFonts w:hint="eastAsia" w:ascii="仿宋" w:hAnsi="仿宋" w:eastAsia="仿宋"/>
          <w:color w:val="000000"/>
          <w:szCs w:val="20"/>
        </w:rPr>
        <w:t xml:space="preserve"> </w:t>
      </w:r>
    </w:p>
    <w:p>
      <w:pPr>
        <w:tabs>
          <w:tab w:val="left" w:pos="445"/>
        </w:tabs>
        <w:adjustRightInd w:val="0"/>
        <w:snapToGrid w:val="0"/>
        <w:spacing w:line="360" w:lineRule="auto"/>
        <w:jc w:val="left"/>
        <w:rPr>
          <w:rFonts w:ascii="仿宋" w:hAnsi="仿宋" w:eastAsia="仿宋"/>
          <w:b/>
          <w:color w:val="000000"/>
          <w:szCs w:val="21"/>
        </w:rPr>
      </w:pPr>
      <w:r>
        <w:rPr>
          <w:rFonts w:hint="eastAsia" w:ascii="仿宋" w:hAnsi="仿宋" w:eastAsia="仿宋"/>
          <w:b/>
          <w:color w:val="000000"/>
          <w:szCs w:val="21"/>
        </w:rPr>
        <w:t>（三）投标方案比较（25分）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1、投标单位对项目及实施现场的理解，4分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阐述详尽、分析科学合理得4分；阐述较详细、分析较科学合理得3分；阐述详细度一般、分析较科学合理得2分；其余情况得1分，无阐述不得分。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2、建设方案以及架构拓扑图比较，4分</w:t>
      </w:r>
      <w:bookmarkStart w:id="13" w:name="_GoBack"/>
      <w:bookmarkEnd w:id="13"/>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方案内容科学合理，操作性强得4分；方案内容较科学合理，操作性较强得3分；方案简单，操作性一般的得2分；方案操作性较差得1分，无阐述不得分。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3、为确保数据的安全性，提供存储数据双活及备份实施方案，5分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有较好的技术手段与方法的得5分；技术手段与方法一般得3分；技术手段与方法差得1分；无阐述不得分。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4、项目实施安装方案（包括项目组织实施、安装调试计划、验收等），3分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组织实施有序规范，安装调试计划安排合理明确，验收方案详尽得3分；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组织实施较为规范，有安装调试计划安排和验收方案得2分；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组织实施规范性一般，有简单安装调试计划安排和验收方案得1分；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无阐述不得分。</w:t>
      </w:r>
    </w:p>
    <w:p>
      <w:pPr>
        <w:tabs>
          <w:tab w:val="left" w:pos="445"/>
        </w:tabs>
        <w:adjustRightInd w:val="0"/>
        <w:snapToGrid w:val="0"/>
        <w:spacing w:line="360" w:lineRule="auto"/>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5、运维服务方案：3分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内容科学合理，操作性强得3分；内容较科学合理，操作性较强得2分；内容简单、基本可行的得1分；无阐述不得分。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6、培训方案比较：3分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培训的具体建议和详细方案，人员、课时、培训内容安排比较。</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培训方案详细全面的得3分；培训方案较全面详细的得2分；培训方案内容简单1分；无阐述不得分。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7、售后服务体系，3分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根据供应商提供的售后服务体系、服务内容、故障解决方案、响应时间、专业技术人员保障及服务电话等进行横向比较</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方案完整、切实可行，得3分；方案简单、可操作，得2分；方案无操作性，得1分；未提供方案本项不得分。</w:t>
      </w:r>
    </w:p>
    <w:p>
      <w:pPr>
        <w:tabs>
          <w:tab w:val="left" w:pos="445"/>
        </w:tabs>
        <w:adjustRightInd w:val="0"/>
        <w:snapToGrid w:val="0"/>
        <w:spacing w:line="360" w:lineRule="auto"/>
        <w:jc w:val="left"/>
        <w:rPr>
          <w:rFonts w:ascii="仿宋" w:hAnsi="仿宋" w:eastAsia="仿宋"/>
          <w:b/>
          <w:color w:val="000000"/>
          <w:szCs w:val="21"/>
        </w:rPr>
      </w:pPr>
      <w:r>
        <w:rPr>
          <w:rFonts w:hint="eastAsia" w:ascii="仿宋" w:hAnsi="仿宋" w:eastAsia="仿宋"/>
          <w:b/>
          <w:color w:val="000000"/>
          <w:szCs w:val="21"/>
        </w:rPr>
        <w:t>（四）履约能力（15分）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1、投标单位为本项目配备技术人员情况，7分。（须提供证书复印件及在投标单位的社保缴纳证明）</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1）项目组成员具有与本项目相关的专业职称证书，有1人加0.5分；最高3分。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2）具有数据中心虚拟化认证工程师（VCP）工程师的，有一个得0.5分，最高1分。</w:t>
      </w:r>
    </w:p>
    <w:p>
      <w:pPr>
        <w:tabs>
          <w:tab w:val="left" w:pos="445"/>
        </w:tabs>
        <w:adjustRightInd w:val="0"/>
        <w:snapToGrid w:val="0"/>
        <w:spacing w:line="360" w:lineRule="auto"/>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3）所投存储产品原厂认证工程师证书，有一人得0.5，最高1分</w:t>
      </w:r>
    </w:p>
    <w:p>
      <w:pPr>
        <w:tabs>
          <w:tab w:val="left" w:pos="445"/>
        </w:tabs>
        <w:adjustRightInd w:val="0"/>
        <w:snapToGrid w:val="0"/>
        <w:spacing w:line="360" w:lineRule="auto"/>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4) 所投备份产品原厂认证工程师证书，有一人得0.5分，最高1分</w:t>
      </w:r>
    </w:p>
    <w:p>
      <w:pPr>
        <w:tabs>
          <w:tab w:val="left" w:pos="445"/>
        </w:tabs>
        <w:adjustRightInd w:val="0"/>
        <w:snapToGrid w:val="0"/>
        <w:spacing w:line="360" w:lineRule="auto"/>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5)</w:t>
      </w:r>
      <w:r>
        <w:rPr>
          <w:rFonts w:ascii="仿宋" w:hAnsi="仿宋" w:eastAsia="仿宋"/>
          <w:color w:val="000000" w:themeColor="text1"/>
          <w:szCs w:val="21"/>
          <w14:textFill>
            <w14:solidFill>
              <w14:schemeClr w14:val="tx1"/>
            </w14:solidFill>
          </w14:textFill>
        </w:rPr>
        <w:t xml:space="preserve"> </w:t>
      </w:r>
      <w:r>
        <w:rPr>
          <w:rFonts w:hint="eastAsia" w:ascii="仿宋" w:hAnsi="仿宋" w:eastAsia="仿宋"/>
          <w:color w:val="000000" w:themeColor="text1"/>
          <w:szCs w:val="21"/>
          <w14:textFill>
            <w14:solidFill>
              <w14:schemeClr w14:val="tx1"/>
            </w14:solidFill>
          </w14:textFill>
        </w:rPr>
        <w:t>所投虚拟化安全产品原厂认证工程师证书，有一人得0.5，最高1分</w:t>
      </w:r>
    </w:p>
    <w:p>
      <w:pPr>
        <w:tabs>
          <w:tab w:val="left" w:pos="445"/>
        </w:tabs>
        <w:adjustRightInd w:val="0"/>
        <w:snapToGrid w:val="0"/>
        <w:spacing w:line="360" w:lineRule="auto"/>
        <w:jc w:val="left"/>
        <w:rPr>
          <w:rFonts w:ascii="仿宋" w:hAnsi="仿宋" w:eastAsia="仿宋"/>
          <w:color w:val="000000"/>
          <w:szCs w:val="21"/>
        </w:rPr>
      </w:pPr>
      <w:r>
        <w:rPr>
          <w:rFonts w:hint="eastAsia" w:ascii="仿宋" w:hAnsi="仿宋" w:eastAsia="仿宋"/>
          <w:color w:val="000000"/>
          <w:szCs w:val="21"/>
        </w:rPr>
        <w:t>2、投标单位具有信息安全管理体系认证证书，1分，提供证书复印件</w:t>
      </w:r>
    </w:p>
    <w:p>
      <w:pPr>
        <w:tabs>
          <w:tab w:val="left" w:pos="445"/>
        </w:tabs>
        <w:adjustRightInd w:val="0"/>
        <w:snapToGrid w:val="0"/>
        <w:spacing w:line="360" w:lineRule="auto"/>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3、投标单位具有有效期内的ITSS证书，1分，提供证书复印件</w:t>
      </w:r>
    </w:p>
    <w:p>
      <w:pPr>
        <w:tabs>
          <w:tab w:val="left" w:pos="445"/>
        </w:tabs>
        <w:adjustRightInd w:val="0"/>
        <w:snapToGrid w:val="0"/>
        <w:spacing w:line="360" w:lineRule="auto"/>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4、投标单位具有的2017年1月1日以来同类产品型项目业绩比较，以合同签订日期为准，有一份得2分，最高6分，投标文件中需提供合同完整复印件、已竣工项目的验收证明材料复印件及发票复印件，否则不得分。</w:t>
      </w:r>
    </w:p>
    <w:p>
      <w:pPr>
        <w:tabs>
          <w:tab w:val="left" w:pos="445"/>
        </w:tabs>
        <w:adjustRightInd w:val="0"/>
        <w:snapToGrid w:val="0"/>
        <w:spacing w:line="360" w:lineRule="auto"/>
        <w:jc w:val="left"/>
        <w:rPr>
          <w:rFonts w:ascii="仿宋" w:hAnsi="仿宋" w:eastAsia="仿宋"/>
          <w:b/>
          <w:color w:val="000000"/>
          <w:szCs w:val="21"/>
        </w:rPr>
      </w:pPr>
    </w:p>
    <w:p>
      <w:pPr>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DED"/>
    <w:rsid w:val="002F1D4F"/>
    <w:rsid w:val="003F6ECC"/>
    <w:rsid w:val="00400D42"/>
    <w:rsid w:val="00494EAB"/>
    <w:rsid w:val="005830CA"/>
    <w:rsid w:val="0061513C"/>
    <w:rsid w:val="00754160"/>
    <w:rsid w:val="007E12A2"/>
    <w:rsid w:val="009263D0"/>
    <w:rsid w:val="009B5272"/>
    <w:rsid w:val="00B566C2"/>
    <w:rsid w:val="00BA0F6D"/>
    <w:rsid w:val="00BD7F48"/>
    <w:rsid w:val="00C07D4A"/>
    <w:rsid w:val="00C869B9"/>
    <w:rsid w:val="00CD6DED"/>
    <w:rsid w:val="00CF4F4C"/>
    <w:rsid w:val="00D15867"/>
    <w:rsid w:val="00D86A56"/>
    <w:rsid w:val="00F22273"/>
    <w:rsid w:val="00FA7548"/>
    <w:rsid w:val="08F53F78"/>
    <w:rsid w:val="30E31ED8"/>
    <w:rsid w:val="34566F2C"/>
    <w:rsid w:val="4A9D1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7"/>
    <w:qFormat/>
    <w:uiPriority w:val="0"/>
    <w:pPr>
      <w:keepNext/>
      <w:keepLines/>
      <w:spacing w:before="260" w:after="260" w:line="415" w:lineRule="auto"/>
      <w:outlineLvl w:val="2"/>
    </w:pPr>
    <w:rPr>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3 字符"/>
    <w:basedOn w:val="6"/>
    <w:link w:val="2"/>
    <w:qFormat/>
    <w:uiPriority w:val="0"/>
    <w:rPr>
      <w:rFonts w:ascii="Times New Roman" w:hAnsi="Times New Roman" w:eastAsia="宋体" w:cs="Times New Roman"/>
      <w:b/>
      <w:bCs/>
      <w:sz w:val="32"/>
      <w:szCs w:val="32"/>
    </w:rPr>
  </w:style>
  <w:style w:type="character" w:customStyle="1" w:styleId="8">
    <w:name w:val="页眉 字符"/>
    <w:basedOn w:val="6"/>
    <w:link w:val="4"/>
    <w:qFormat/>
    <w:uiPriority w:val="99"/>
    <w:rPr>
      <w:rFonts w:ascii="Times New Roman" w:hAnsi="Times New Roman" w:eastAsia="宋体" w:cs="Times New Roman"/>
      <w:sz w:val="18"/>
      <w:szCs w:val="18"/>
    </w:rPr>
  </w:style>
  <w:style w:type="character" w:customStyle="1" w:styleId="9">
    <w:name w:val="页脚 字符"/>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1715</Words>
  <Characters>9782</Characters>
  <Lines>81</Lines>
  <Paragraphs>22</Paragraphs>
  <TotalTime>10</TotalTime>
  <ScaleCrop>false</ScaleCrop>
  <LinksUpToDate>false</LinksUpToDate>
  <CharactersWithSpaces>11475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2020-06-16T14:31:00Z</dcterms:created>
  <dc:creator>xu hailang</dc:creator>
  <cp:lastModifiedBy>宇</cp:lastModifiedBy>
  <dcterms:modified xsi:type="dcterms:W3CDTF">2020-07-06T06:01:05Z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